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6EC5" w14:textId="77777777" w:rsidR="00D077F7" w:rsidRDefault="00D077F7" w:rsidP="00430672">
      <w:pPr>
        <w:pStyle w:val="Title"/>
      </w:pPr>
    </w:p>
    <w:p w14:paraId="5CEBD8FD" w14:textId="7C0C02C8" w:rsidR="00D71C67" w:rsidRPr="00170605" w:rsidRDefault="00B31D04" w:rsidP="00170605">
      <w:pPr>
        <w:pStyle w:val="Heading1"/>
      </w:pPr>
      <w:r w:rsidRPr="00170605">
        <w:t>Responsible Investment</w:t>
      </w:r>
      <w:r w:rsidR="00C47A5E" w:rsidRPr="00170605">
        <w:t xml:space="preserve"> Policy</w:t>
      </w:r>
    </w:p>
    <w:p w14:paraId="5EF05646" w14:textId="2A571F58" w:rsidR="00D71C67" w:rsidRPr="00A06CC1" w:rsidRDefault="00D71C67" w:rsidP="00430672"/>
    <w:p w14:paraId="680F90AC" w14:textId="2C55A0A3" w:rsidR="009F6858" w:rsidRPr="00A06CC1" w:rsidRDefault="009F6858" w:rsidP="00430672">
      <w:bookmarkStart w:id="0" w:name="Policy_on_Establishing_University_Polici"/>
      <w:bookmarkEnd w:id="0"/>
    </w:p>
    <w:p w14:paraId="382E03E1" w14:textId="55B664ED" w:rsidR="009F6858" w:rsidRPr="00A06CC1" w:rsidRDefault="009F6858" w:rsidP="00430672"/>
    <w:p w14:paraId="5857B012" w14:textId="7DB28400" w:rsidR="009F6858" w:rsidRPr="00A06CC1" w:rsidRDefault="009F6858" w:rsidP="00430672"/>
    <w:p w14:paraId="370A7A81" w14:textId="77777777" w:rsidR="009F6858" w:rsidRPr="00A06CC1" w:rsidRDefault="009F6858" w:rsidP="00430672"/>
    <w:p w14:paraId="692B024F" w14:textId="77777777" w:rsidR="00D71C67" w:rsidRPr="00A06CC1" w:rsidRDefault="00D71C67" w:rsidP="00430672"/>
    <w:p w14:paraId="5698A8FC" w14:textId="77777777" w:rsidR="00D71C67" w:rsidRPr="00A06CC1" w:rsidRDefault="00D71C67" w:rsidP="00430672"/>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4" w:type="dxa"/>
          <w:bottom w:w="28" w:type="dxa"/>
          <w:right w:w="14" w:type="dxa"/>
        </w:tblCellMar>
        <w:tblLook w:val="06A0" w:firstRow="1" w:lastRow="0" w:firstColumn="1" w:lastColumn="0" w:noHBand="1" w:noVBand="1"/>
        <w:tblCaption w:val="Table with data about the policy itself"/>
      </w:tblPr>
      <w:tblGrid>
        <w:gridCol w:w="3196"/>
        <w:gridCol w:w="6290"/>
      </w:tblGrid>
      <w:tr w:rsidR="00430672" w:rsidRPr="00A06CC1" w14:paraId="7C368EE2" w14:textId="77777777" w:rsidTr="00CA195D">
        <w:trPr>
          <w:trHeight w:val="397"/>
        </w:trPr>
        <w:tc>
          <w:tcPr>
            <w:tcW w:w="3196" w:type="dxa"/>
            <w:vAlign w:val="center"/>
          </w:tcPr>
          <w:p w14:paraId="3997A7EF" w14:textId="77777777" w:rsidR="00D71C67" w:rsidRPr="00DD43A7" w:rsidRDefault="00BE5D6B" w:rsidP="00CD57C4">
            <w:pPr>
              <w:pStyle w:val="TableParagraph"/>
              <w:rPr>
                <w:sz w:val="22"/>
              </w:rPr>
            </w:pPr>
            <w:r w:rsidRPr="00DD43A7">
              <w:rPr>
                <w:sz w:val="22"/>
              </w:rPr>
              <w:t>Responsible Office</w:t>
            </w:r>
          </w:p>
        </w:tc>
        <w:tc>
          <w:tcPr>
            <w:tcW w:w="6290" w:type="dxa"/>
            <w:vAlign w:val="center"/>
          </w:tcPr>
          <w:p w14:paraId="0A12543E" w14:textId="7BBE60B8" w:rsidR="00D71C67" w:rsidRPr="00DD43A7" w:rsidRDefault="00B8631C" w:rsidP="00170605">
            <w:pPr>
              <w:pStyle w:val="TableParagraph"/>
              <w:ind w:left="170"/>
              <w:rPr>
                <w:sz w:val="22"/>
              </w:rPr>
            </w:pPr>
            <w:r w:rsidRPr="00DD43A7">
              <w:rPr>
                <w:sz w:val="22"/>
              </w:rPr>
              <w:t>Governance, Legal &amp; Compliance</w:t>
            </w:r>
          </w:p>
        </w:tc>
      </w:tr>
      <w:tr w:rsidR="00430672" w:rsidRPr="00A06CC1" w14:paraId="36196838" w14:textId="77777777" w:rsidTr="00CA195D">
        <w:trPr>
          <w:trHeight w:val="397"/>
        </w:trPr>
        <w:tc>
          <w:tcPr>
            <w:tcW w:w="3196" w:type="dxa"/>
            <w:vAlign w:val="center"/>
          </w:tcPr>
          <w:p w14:paraId="5414756D" w14:textId="77777777" w:rsidR="00D71C67" w:rsidRPr="00DD43A7" w:rsidRDefault="00BE5D6B" w:rsidP="00CD57C4">
            <w:pPr>
              <w:pStyle w:val="TableParagraph"/>
              <w:rPr>
                <w:sz w:val="22"/>
              </w:rPr>
            </w:pPr>
            <w:r w:rsidRPr="00DD43A7">
              <w:rPr>
                <w:sz w:val="22"/>
              </w:rPr>
              <w:t>Responsible Officer</w:t>
            </w:r>
          </w:p>
        </w:tc>
        <w:tc>
          <w:tcPr>
            <w:tcW w:w="6290" w:type="dxa"/>
            <w:vAlign w:val="center"/>
          </w:tcPr>
          <w:p w14:paraId="2FE9C438" w14:textId="48CDCF17" w:rsidR="00D71C67" w:rsidRPr="00DD43A7" w:rsidRDefault="00554B51" w:rsidP="00170605">
            <w:pPr>
              <w:pStyle w:val="TableParagraph"/>
              <w:ind w:left="170"/>
              <w:rPr>
                <w:sz w:val="22"/>
              </w:rPr>
            </w:pPr>
            <w:r w:rsidRPr="00DD43A7">
              <w:rPr>
                <w:sz w:val="22"/>
              </w:rPr>
              <w:t xml:space="preserve">University Secretary </w:t>
            </w:r>
            <w:r w:rsidR="0027494D" w:rsidRPr="00DD43A7">
              <w:rPr>
                <w:sz w:val="22"/>
              </w:rPr>
              <w:t>/</w:t>
            </w:r>
            <w:r w:rsidRPr="00DD43A7">
              <w:rPr>
                <w:sz w:val="22"/>
              </w:rPr>
              <w:t xml:space="preserve"> </w:t>
            </w:r>
            <w:r w:rsidR="00B8631C" w:rsidRPr="00DD43A7">
              <w:rPr>
                <w:sz w:val="22"/>
              </w:rPr>
              <w:t>Chief Financial Officer</w:t>
            </w:r>
          </w:p>
        </w:tc>
      </w:tr>
      <w:tr w:rsidR="00430672" w:rsidRPr="00A06CC1" w14:paraId="5FF8838C" w14:textId="77777777" w:rsidTr="00CA195D">
        <w:trPr>
          <w:trHeight w:val="397"/>
        </w:trPr>
        <w:tc>
          <w:tcPr>
            <w:tcW w:w="3196" w:type="dxa"/>
            <w:vAlign w:val="center"/>
          </w:tcPr>
          <w:p w14:paraId="07BFF7F3" w14:textId="77777777" w:rsidR="00D71C67" w:rsidRPr="00DD43A7" w:rsidRDefault="00BE5D6B" w:rsidP="00CD57C4">
            <w:pPr>
              <w:pStyle w:val="TableParagraph"/>
              <w:rPr>
                <w:sz w:val="22"/>
              </w:rPr>
            </w:pPr>
            <w:r w:rsidRPr="00DD43A7">
              <w:rPr>
                <w:sz w:val="22"/>
              </w:rPr>
              <w:t>Approving Authority</w:t>
            </w:r>
          </w:p>
        </w:tc>
        <w:tc>
          <w:tcPr>
            <w:tcW w:w="6290" w:type="dxa"/>
            <w:vAlign w:val="center"/>
          </w:tcPr>
          <w:p w14:paraId="6A97E351" w14:textId="4319C43A" w:rsidR="00D71C67" w:rsidRPr="00DD43A7" w:rsidRDefault="00554B51" w:rsidP="00170605">
            <w:pPr>
              <w:pStyle w:val="TableParagraph"/>
              <w:ind w:left="170"/>
              <w:rPr>
                <w:sz w:val="22"/>
              </w:rPr>
            </w:pPr>
            <w:r w:rsidRPr="00DD43A7">
              <w:rPr>
                <w:sz w:val="22"/>
              </w:rPr>
              <w:t>Board of Governors</w:t>
            </w:r>
          </w:p>
        </w:tc>
      </w:tr>
      <w:tr w:rsidR="00430672" w:rsidRPr="00A06CC1" w14:paraId="75B88A4A" w14:textId="77777777" w:rsidTr="00CA195D">
        <w:trPr>
          <w:trHeight w:val="397"/>
        </w:trPr>
        <w:tc>
          <w:tcPr>
            <w:tcW w:w="3196" w:type="dxa"/>
            <w:vAlign w:val="center"/>
          </w:tcPr>
          <w:p w14:paraId="5BDB8BFE" w14:textId="77777777" w:rsidR="00D71C67" w:rsidRPr="00DD43A7" w:rsidRDefault="00BE5D6B" w:rsidP="00CD57C4">
            <w:pPr>
              <w:pStyle w:val="TableParagraph"/>
              <w:rPr>
                <w:sz w:val="22"/>
              </w:rPr>
            </w:pPr>
            <w:r w:rsidRPr="00DD43A7">
              <w:rPr>
                <w:sz w:val="22"/>
              </w:rPr>
              <w:t>Date of Approval</w:t>
            </w:r>
          </w:p>
        </w:tc>
        <w:tc>
          <w:tcPr>
            <w:tcW w:w="6290" w:type="dxa"/>
            <w:vAlign w:val="center"/>
          </w:tcPr>
          <w:p w14:paraId="10966BF7" w14:textId="729EA6CE" w:rsidR="00D71C67" w:rsidRPr="00DD43A7" w:rsidRDefault="00554B51" w:rsidP="00170605">
            <w:pPr>
              <w:pStyle w:val="TableParagraph"/>
              <w:ind w:left="170"/>
              <w:rPr>
                <w:sz w:val="22"/>
              </w:rPr>
            </w:pPr>
            <w:r w:rsidRPr="00DD43A7">
              <w:rPr>
                <w:sz w:val="22"/>
              </w:rPr>
              <w:t>16 February 2022</w:t>
            </w:r>
          </w:p>
        </w:tc>
      </w:tr>
      <w:tr w:rsidR="00430672" w:rsidRPr="00A06CC1" w14:paraId="156DA245" w14:textId="77777777" w:rsidTr="00CA195D">
        <w:trPr>
          <w:trHeight w:val="397"/>
        </w:trPr>
        <w:tc>
          <w:tcPr>
            <w:tcW w:w="3196" w:type="dxa"/>
            <w:vAlign w:val="center"/>
          </w:tcPr>
          <w:p w14:paraId="439E357D" w14:textId="77777777" w:rsidR="00D71C67" w:rsidRPr="00DD43A7" w:rsidRDefault="00BE5D6B" w:rsidP="00CD57C4">
            <w:pPr>
              <w:pStyle w:val="TableParagraph"/>
              <w:rPr>
                <w:sz w:val="22"/>
              </w:rPr>
            </w:pPr>
            <w:r w:rsidRPr="00DD43A7">
              <w:rPr>
                <w:sz w:val="22"/>
              </w:rPr>
              <w:t>Effective Date</w:t>
            </w:r>
          </w:p>
        </w:tc>
        <w:tc>
          <w:tcPr>
            <w:tcW w:w="6290" w:type="dxa"/>
            <w:vAlign w:val="center"/>
          </w:tcPr>
          <w:p w14:paraId="2776D8F3" w14:textId="3F107485" w:rsidR="00D71C67" w:rsidRPr="00DD43A7" w:rsidRDefault="00554B51" w:rsidP="00170605">
            <w:pPr>
              <w:pStyle w:val="TableParagraph"/>
              <w:ind w:left="170"/>
              <w:rPr>
                <w:sz w:val="22"/>
              </w:rPr>
            </w:pPr>
            <w:r w:rsidRPr="00DD43A7">
              <w:rPr>
                <w:sz w:val="22"/>
              </w:rPr>
              <w:t>16 February 2022</w:t>
            </w:r>
          </w:p>
        </w:tc>
      </w:tr>
      <w:tr w:rsidR="00430672" w:rsidRPr="00A06CC1" w14:paraId="7F2B423A" w14:textId="77777777" w:rsidTr="00CA195D">
        <w:trPr>
          <w:trHeight w:val="397"/>
        </w:trPr>
        <w:tc>
          <w:tcPr>
            <w:tcW w:w="3196" w:type="dxa"/>
            <w:vAlign w:val="center"/>
          </w:tcPr>
          <w:p w14:paraId="29F6E930" w14:textId="77777777" w:rsidR="00D71C67" w:rsidRPr="00DD43A7" w:rsidRDefault="00BE5D6B" w:rsidP="00CD57C4">
            <w:pPr>
              <w:pStyle w:val="TableParagraph"/>
              <w:rPr>
                <w:sz w:val="22"/>
              </w:rPr>
            </w:pPr>
            <w:r w:rsidRPr="00DD43A7">
              <w:rPr>
                <w:sz w:val="22"/>
              </w:rPr>
              <w:t>Related Procedures</w:t>
            </w:r>
          </w:p>
        </w:tc>
        <w:tc>
          <w:tcPr>
            <w:tcW w:w="6290" w:type="dxa"/>
            <w:vAlign w:val="center"/>
          </w:tcPr>
          <w:p w14:paraId="005CB227" w14:textId="00632373" w:rsidR="00D71C67" w:rsidRPr="00DD43A7" w:rsidRDefault="00554B51" w:rsidP="00170605">
            <w:pPr>
              <w:pStyle w:val="TableParagraph"/>
              <w:ind w:left="170"/>
              <w:rPr>
                <w:sz w:val="22"/>
              </w:rPr>
            </w:pPr>
            <w:r w:rsidRPr="00DD43A7">
              <w:rPr>
                <w:sz w:val="22"/>
              </w:rPr>
              <w:t>Financial Regulations</w:t>
            </w:r>
          </w:p>
        </w:tc>
      </w:tr>
      <w:tr w:rsidR="00430672" w:rsidRPr="00A06CC1" w14:paraId="3329B90F" w14:textId="77777777" w:rsidTr="00CA195D">
        <w:trPr>
          <w:trHeight w:val="397"/>
        </w:trPr>
        <w:tc>
          <w:tcPr>
            <w:tcW w:w="3196" w:type="dxa"/>
            <w:vAlign w:val="center"/>
          </w:tcPr>
          <w:p w14:paraId="3998B6E4" w14:textId="77777777" w:rsidR="00D71C67" w:rsidRPr="00DD43A7" w:rsidRDefault="00BE5D6B" w:rsidP="00CD57C4">
            <w:pPr>
              <w:pStyle w:val="TableParagraph"/>
              <w:rPr>
                <w:sz w:val="22"/>
              </w:rPr>
            </w:pPr>
            <w:r w:rsidRPr="00DD43A7">
              <w:rPr>
                <w:sz w:val="22"/>
              </w:rPr>
              <w:t>Related University Policies</w:t>
            </w:r>
          </w:p>
        </w:tc>
        <w:tc>
          <w:tcPr>
            <w:tcW w:w="6290" w:type="dxa"/>
            <w:vAlign w:val="center"/>
          </w:tcPr>
          <w:p w14:paraId="32AD0872" w14:textId="15CEC01D" w:rsidR="00D71C67" w:rsidRPr="00DD43A7" w:rsidRDefault="00554B51" w:rsidP="00170605">
            <w:pPr>
              <w:pStyle w:val="TableParagraph"/>
              <w:ind w:left="170"/>
              <w:rPr>
                <w:sz w:val="22"/>
              </w:rPr>
            </w:pPr>
            <w:r w:rsidRPr="00DD43A7">
              <w:rPr>
                <w:sz w:val="22"/>
              </w:rPr>
              <w:t>n/a</w:t>
            </w:r>
          </w:p>
        </w:tc>
      </w:tr>
      <w:tr w:rsidR="00430672" w:rsidRPr="00A06CC1" w14:paraId="4B99F628" w14:textId="77777777" w:rsidTr="00CA195D">
        <w:trPr>
          <w:trHeight w:val="397"/>
        </w:trPr>
        <w:tc>
          <w:tcPr>
            <w:tcW w:w="3196" w:type="dxa"/>
            <w:vAlign w:val="center"/>
          </w:tcPr>
          <w:p w14:paraId="62AD3E67" w14:textId="77777777" w:rsidR="00D71C67" w:rsidRPr="00DD43A7" w:rsidRDefault="00BE5D6B" w:rsidP="00CD57C4">
            <w:pPr>
              <w:pStyle w:val="TableParagraph"/>
              <w:rPr>
                <w:sz w:val="22"/>
              </w:rPr>
            </w:pPr>
            <w:r w:rsidRPr="00DD43A7">
              <w:rPr>
                <w:sz w:val="22"/>
              </w:rPr>
              <w:t>Amended (if applicable)</w:t>
            </w:r>
          </w:p>
        </w:tc>
        <w:tc>
          <w:tcPr>
            <w:tcW w:w="6290" w:type="dxa"/>
            <w:vAlign w:val="center"/>
          </w:tcPr>
          <w:p w14:paraId="2B3FD9F9" w14:textId="124EF273" w:rsidR="00D71C67" w:rsidRPr="00DD43A7" w:rsidRDefault="00B8631C" w:rsidP="00170605">
            <w:pPr>
              <w:pStyle w:val="TableParagraph"/>
              <w:ind w:left="170"/>
              <w:rPr>
                <w:sz w:val="22"/>
              </w:rPr>
            </w:pPr>
            <w:r w:rsidRPr="00DD43A7">
              <w:rPr>
                <w:sz w:val="22"/>
              </w:rPr>
              <w:t xml:space="preserve">Minor editorial amendments </w:t>
            </w:r>
            <w:r w:rsidR="0027494D" w:rsidRPr="00DD43A7">
              <w:rPr>
                <w:sz w:val="22"/>
              </w:rPr>
              <w:t>(noted</w:t>
            </w:r>
            <w:r w:rsidRPr="00DD43A7">
              <w:rPr>
                <w:sz w:val="22"/>
              </w:rPr>
              <w:t xml:space="preserve"> </w:t>
            </w:r>
            <w:r w:rsidR="0027494D" w:rsidRPr="00DD43A7">
              <w:rPr>
                <w:sz w:val="22"/>
              </w:rPr>
              <w:t xml:space="preserve">by Finance &amp; Infrastructure Committee on 1 </w:t>
            </w:r>
            <w:r w:rsidRPr="00DD43A7">
              <w:rPr>
                <w:sz w:val="22"/>
              </w:rPr>
              <w:t>March 2023</w:t>
            </w:r>
            <w:r w:rsidR="0027494D" w:rsidRPr="00DD43A7">
              <w:rPr>
                <w:sz w:val="22"/>
              </w:rPr>
              <w:t>).</w:t>
            </w:r>
          </w:p>
        </w:tc>
      </w:tr>
      <w:tr w:rsidR="00430672" w:rsidRPr="00A06CC1" w14:paraId="08E85F6D" w14:textId="77777777" w:rsidTr="00CA195D">
        <w:trPr>
          <w:trHeight w:val="397"/>
        </w:trPr>
        <w:tc>
          <w:tcPr>
            <w:tcW w:w="3196" w:type="dxa"/>
            <w:vAlign w:val="center"/>
          </w:tcPr>
          <w:p w14:paraId="6C85280E" w14:textId="77777777" w:rsidR="00D71C67" w:rsidRPr="00DD43A7" w:rsidRDefault="00BE5D6B" w:rsidP="00CD57C4">
            <w:pPr>
              <w:pStyle w:val="TableParagraph"/>
              <w:rPr>
                <w:sz w:val="22"/>
              </w:rPr>
            </w:pPr>
            <w:r w:rsidRPr="00DD43A7">
              <w:rPr>
                <w:sz w:val="22"/>
              </w:rPr>
              <w:t>Supersedes</w:t>
            </w:r>
          </w:p>
        </w:tc>
        <w:tc>
          <w:tcPr>
            <w:tcW w:w="6290" w:type="dxa"/>
            <w:vAlign w:val="center"/>
          </w:tcPr>
          <w:p w14:paraId="4B5EA4E2" w14:textId="64CA9F5D" w:rsidR="00D71C67" w:rsidRPr="00DD43A7" w:rsidRDefault="00B8631C" w:rsidP="00170605">
            <w:pPr>
              <w:pStyle w:val="TableParagraph"/>
              <w:ind w:left="170"/>
              <w:rPr>
                <w:sz w:val="22"/>
              </w:rPr>
            </w:pPr>
            <w:r w:rsidRPr="00DD43A7">
              <w:rPr>
                <w:sz w:val="22"/>
              </w:rPr>
              <w:t>v. February 2022</w:t>
            </w:r>
          </w:p>
        </w:tc>
      </w:tr>
      <w:tr w:rsidR="00430672" w:rsidRPr="00A06CC1" w14:paraId="3B2F7407" w14:textId="77777777" w:rsidTr="00CA195D">
        <w:trPr>
          <w:trHeight w:val="397"/>
        </w:trPr>
        <w:tc>
          <w:tcPr>
            <w:tcW w:w="3196" w:type="dxa"/>
            <w:vAlign w:val="center"/>
          </w:tcPr>
          <w:p w14:paraId="55A18C99" w14:textId="77777777" w:rsidR="00D71C67" w:rsidRPr="00DD43A7" w:rsidRDefault="00BE5D6B" w:rsidP="00CD57C4">
            <w:pPr>
              <w:pStyle w:val="TableParagraph"/>
              <w:rPr>
                <w:sz w:val="22"/>
              </w:rPr>
            </w:pPr>
            <w:r w:rsidRPr="00DD43A7">
              <w:rPr>
                <w:sz w:val="22"/>
              </w:rPr>
              <w:t>Next review due</w:t>
            </w:r>
          </w:p>
        </w:tc>
        <w:tc>
          <w:tcPr>
            <w:tcW w:w="6290" w:type="dxa"/>
            <w:vAlign w:val="center"/>
          </w:tcPr>
          <w:p w14:paraId="319BA5AC" w14:textId="4AA2771D" w:rsidR="00D71C67" w:rsidRPr="00DD43A7" w:rsidRDefault="00554B51" w:rsidP="00170605">
            <w:pPr>
              <w:pStyle w:val="TableParagraph"/>
              <w:ind w:left="170"/>
              <w:rPr>
                <w:sz w:val="22"/>
              </w:rPr>
            </w:pPr>
            <w:r w:rsidRPr="00DD43A7">
              <w:rPr>
                <w:sz w:val="22"/>
              </w:rPr>
              <w:t>202</w:t>
            </w:r>
            <w:r w:rsidR="00B8631C" w:rsidRPr="00DD43A7">
              <w:rPr>
                <w:sz w:val="22"/>
              </w:rPr>
              <w:t>4</w:t>
            </w:r>
          </w:p>
        </w:tc>
      </w:tr>
    </w:tbl>
    <w:p w14:paraId="3A742C2B" w14:textId="77777777" w:rsidR="00ED6E53" w:rsidRDefault="00ED6E53" w:rsidP="00ED6E53">
      <w:pPr>
        <w:sectPr w:rsidR="00ED6E53" w:rsidSect="00D077F7">
          <w:headerReference w:type="default" r:id="rId7"/>
          <w:headerReference w:type="first" r:id="rId8"/>
          <w:type w:val="continuous"/>
          <w:pgSz w:w="11910" w:h="16840"/>
          <w:pgMar w:top="3422" w:right="1200" w:bottom="684" w:left="1196" w:header="720" w:footer="720" w:gutter="0"/>
          <w:cols w:space="720"/>
          <w:titlePg/>
          <w:docGrid w:linePitch="299"/>
        </w:sectPr>
      </w:pPr>
    </w:p>
    <w:p w14:paraId="78F850B5" w14:textId="415D679B" w:rsidR="00CD57C4" w:rsidRPr="00170605" w:rsidRDefault="00BE5D6B" w:rsidP="00170605">
      <w:pPr>
        <w:pStyle w:val="Heading2"/>
      </w:pPr>
      <w:r w:rsidRPr="00170605">
        <w:lastRenderedPageBreak/>
        <w:t>Purpose</w:t>
      </w:r>
      <w:r w:rsidR="00CD57C4" w:rsidRPr="00170605">
        <w:t xml:space="preserve"> </w:t>
      </w:r>
    </w:p>
    <w:p w14:paraId="1B5F3B42" w14:textId="33F9FE2B" w:rsidR="00C47A5E" w:rsidRPr="00DD43A7" w:rsidRDefault="00DD43A7" w:rsidP="00DD43A7">
      <w:pPr>
        <w:ind w:left="720" w:hanging="720"/>
      </w:pPr>
      <w:r>
        <w:t>1.1</w:t>
      </w:r>
      <w:r>
        <w:tab/>
      </w:r>
      <w:r w:rsidR="00C47A5E" w:rsidRPr="00DD43A7">
        <w:t xml:space="preserve">Bath Spa University is fully committed to acting in a socially responsible manner. This policy sets out the principles </w:t>
      </w:r>
      <w:r w:rsidR="00D5395E" w:rsidRPr="00DD43A7">
        <w:t>for responsible investing that includes consideration of environmental, social and governance issues relating to all decisions regarding the University’</w:t>
      </w:r>
      <w:r w:rsidR="00554B51" w:rsidRPr="00DD43A7">
        <w:t>s investment portfolio.</w:t>
      </w:r>
    </w:p>
    <w:p w14:paraId="20EAAFA3" w14:textId="1E386312" w:rsidR="00D5395E" w:rsidRPr="00DD43A7" w:rsidRDefault="00DD43A7" w:rsidP="00DD43A7">
      <w:r>
        <w:t>1.2</w:t>
      </w:r>
      <w:r>
        <w:tab/>
      </w:r>
      <w:r w:rsidR="00D5395E" w:rsidRPr="00DD43A7">
        <w:t>T</w:t>
      </w:r>
      <w:r w:rsidR="00C47A5E" w:rsidRPr="00DD43A7">
        <w:t xml:space="preserve">his policy </w:t>
      </w:r>
      <w:r w:rsidR="00D5395E" w:rsidRPr="00DD43A7">
        <w:t>recognises</w:t>
      </w:r>
      <w:r w:rsidR="00554B51" w:rsidRPr="00DD43A7">
        <w:t xml:space="preserve"> the following</w:t>
      </w:r>
      <w:r w:rsidR="00D5395E" w:rsidRPr="00DD43A7">
        <w:t>:</w:t>
      </w:r>
    </w:p>
    <w:p w14:paraId="473F760F" w14:textId="7F2ACEF9" w:rsidR="00C47A5E" w:rsidRPr="00DD43A7" w:rsidRDefault="00DD43A7" w:rsidP="00DD43A7">
      <w:pPr>
        <w:ind w:left="1691" w:hanging="840"/>
      </w:pPr>
      <w:r>
        <w:t>a.</w:t>
      </w:r>
      <w:r>
        <w:tab/>
      </w:r>
      <w:r w:rsidR="00D5395E" w:rsidRPr="00DD43A7">
        <w:t>the fiduciary responsibility of the University’s Board of Governors, as trustees of the University as an exempt charity, to maximise returns from the University’s investments; and</w:t>
      </w:r>
    </w:p>
    <w:p w14:paraId="2A1D6609" w14:textId="286D86E2" w:rsidR="00D5395E" w:rsidRDefault="00DD43A7" w:rsidP="00DD43A7">
      <w:pPr>
        <w:ind w:left="1691" w:hanging="840"/>
        <w:rPr>
          <w:sz w:val="20"/>
        </w:rPr>
      </w:pPr>
      <w:r>
        <w:t>b.</w:t>
      </w:r>
      <w:r>
        <w:tab/>
      </w:r>
      <w:r w:rsidR="00D5395E" w:rsidRPr="00DD43A7">
        <w:t>the University’s commitment to academic freedom and, in this context, does not define the parameters for its research and business partnerships</w:t>
      </w:r>
      <w:r w:rsidR="00D5395E">
        <w:rPr>
          <w:sz w:val="20"/>
        </w:rPr>
        <w:t>.</w:t>
      </w:r>
    </w:p>
    <w:p w14:paraId="2BFF6EAE" w14:textId="77777777" w:rsidR="00D5395E" w:rsidRPr="00DD43A7" w:rsidRDefault="00D5395E" w:rsidP="00170605">
      <w:pPr>
        <w:pStyle w:val="Heading1"/>
      </w:pPr>
    </w:p>
    <w:p w14:paraId="40F92CF5" w14:textId="585295C2" w:rsidR="00D71C67" w:rsidRPr="00170605" w:rsidRDefault="00D5395E" w:rsidP="00170605">
      <w:pPr>
        <w:pStyle w:val="Heading2"/>
      </w:pPr>
      <w:r w:rsidRPr="00170605">
        <w:t>Environmental, Social and Governance (ESG) Issues</w:t>
      </w:r>
    </w:p>
    <w:p w14:paraId="7C008689" w14:textId="6EFCE476" w:rsidR="00D5395E" w:rsidRPr="00DD43A7" w:rsidRDefault="00DD43A7" w:rsidP="00DD43A7">
      <w:pPr>
        <w:ind w:left="720" w:hanging="720"/>
      </w:pPr>
      <w:r>
        <w:t>2.1</w:t>
      </w:r>
      <w:r>
        <w:tab/>
      </w:r>
      <w:r w:rsidR="00D5395E" w:rsidRPr="00DD43A7">
        <w:t>The University is particularly concerned about the following key ESG issues and will adopt investment strategies that seek to minimise or, ideally, eliminate investments in companies with corporate behaviour leading to:</w:t>
      </w:r>
    </w:p>
    <w:p w14:paraId="5913C609" w14:textId="178636D9" w:rsidR="00620EDC" w:rsidRPr="00DD43A7" w:rsidRDefault="005B4845" w:rsidP="005B4845">
      <w:pPr>
        <w:ind w:firstLine="720"/>
      </w:pPr>
      <w:r>
        <w:t>a.</w:t>
      </w:r>
      <w:r>
        <w:tab/>
      </w:r>
      <w:r w:rsidR="00620EDC" w:rsidRPr="00DD43A7">
        <w:t>Environmental degradation and climate change</w:t>
      </w:r>
    </w:p>
    <w:p w14:paraId="03BDC749" w14:textId="4B9DB442" w:rsidR="00620EDC" w:rsidRPr="00DD43A7" w:rsidRDefault="005B4845" w:rsidP="005B4845">
      <w:pPr>
        <w:ind w:firstLine="720"/>
      </w:pPr>
      <w:r>
        <w:t>b.</w:t>
      </w:r>
      <w:r>
        <w:tab/>
      </w:r>
      <w:r w:rsidR="00620EDC" w:rsidRPr="00DD43A7">
        <w:t>Human rights violations</w:t>
      </w:r>
    </w:p>
    <w:p w14:paraId="6B4391C6" w14:textId="20F3F173" w:rsidR="00620EDC" w:rsidRPr="00DD43A7" w:rsidRDefault="005B4845" w:rsidP="005B4845">
      <w:pPr>
        <w:ind w:firstLine="720"/>
      </w:pPr>
      <w:r>
        <w:t>c.</w:t>
      </w:r>
      <w:r>
        <w:tab/>
      </w:r>
      <w:r w:rsidR="00620EDC" w:rsidRPr="00DD43A7">
        <w:t>The exploitation of workers</w:t>
      </w:r>
    </w:p>
    <w:p w14:paraId="2E8929AA" w14:textId="6F88018C" w:rsidR="00620EDC" w:rsidRPr="00DD43A7" w:rsidRDefault="005B4845" w:rsidP="005B4845">
      <w:pPr>
        <w:ind w:firstLine="720"/>
      </w:pPr>
      <w:r>
        <w:t>d.</w:t>
      </w:r>
      <w:r>
        <w:tab/>
      </w:r>
      <w:r w:rsidR="00620EDC" w:rsidRPr="00DD43A7">
        <w:t>R</w:t>
      </w:r>
      <w:r w:rsidR="00A0291D" w:rsidRPr="00DD43A7">
        <w:t>ace</w:t>
      </w:r>
      <w:r w:rsidR="00620EDC" w:rsidRPr="00DD43A7">
        <w:t xml:space="preserve"> or sex</w:t>
      </w:r>
      <w:r w:rsidR="00A0291D" w:rsidRPr="00DD43A7">
        <w:t xml:space="preserve"> discrimination</w:t>
      </w:r>
    </w:p>
    <w:p w14:paraId="204E1AAA" w14:textId="0364CF81" w:rsidR="00A0291D" w:rsidRPr="00DD43A7" w:rsidRDefault="005B4845" w:rsidP="005B4845">
      <w:pPr>
        <w:ind w:firstLine="720"/>
      </w:pPr>
      <w:r>
        <w:t>e.</w:t>
      </w:r>
      <w:r>
        <w:tab/>
      </w:r>
      <w:r w:rsidR="00A0291D" w:rsidRPr="00DD43A7">
        <w:t>Institutionalisation of poverty</w:t>
      </w:r>
    </w:p>
    <w:p w14:paraId="63064F30" w14:textId="162DE886" w:rsidR="00A0291D" w:rsidRPr="00DD43A7" w:rsidRDefault="005B4845" w:rsidP="005B4845">
      <w:pPr>
        <w:ind w:firstLine="720"/>
      </w:pPr>
      <w:r>
        <w:t>f.</w:t>
      </w:r>
      <w:r>
        <w:tab/>
      </w:r>
      <w:r w:rsidR="00A0291D" w:rsidRPr="00DD43A7">
        <w:t xml:space="preserve">Tobacco production, </w:t>
      </w:r>
      <w:proofErr w:type="gramStart"/>
      <w:r w:rsidR="00A0291D" w:rsidRPr="00DD43A7">
        <w:t>cultivation</w:t>
      </w:r>
      <w:proofErr w:type="gramEnd"/>
      <w:r w:rsidR="00A0291D" w:rsidRPr="00DD43A7">
        <w:t xml:space="preserve"> and manufacture</w:t>
      </w:r>
    </w:p>
    <w:p w14:paraId="00D49B9A" w14:textId="0991E60A" w:rsidR="00A0291D" w:rsidRPr="00DD43A7" w:rsidRDefault="005B4845" w:rsidP="005B4845">
      <w:pPr>
        <w:ind w:firstLine="720"/>
      </w:pPr>
      <w:r>
        <w:t>g.</w:t>
      </w:r>
      <w:r>
        <w:tab/>
      </w:r>
      <w:r w:rsidR="00A0291D" w:rsidRPr="00DD43A7">
        <w:t>Manufacture of controversial weapons</w:t>
      </w:r>
    </w:p>
    <w:p w14:paraId="2856C882" w14:textId="02A04B03" w:rsidR="00620EDC" w:rsidRPr="00DD43A7" w:rsidRDefault="005B4845" w:rsidP="005B4845">
      <w:pPr>
        <w:ind w:firstLine="720"/>
      </w:pPr>
      <w:r>
        <w:t>h.</w:t>
      </w:r>
      <w:r>
        <w:tab/>
      </w:r>
      <w:r w:rsidR="00620EDC" w:rsidRPr="00DD43A7">
        <w:t xml:space="preserve">Giving or receiving of bribes </w:t>
      </w:r>
    </w:p>
    <w:p w14:paraId="67561521" w14:textId="059DFC90" w:rsidR="004F31FE" w:rsidRPr="00DD43A7" w:rsidRDefault="005B4845" w:rsidP="005B4845">
      <w:pPr>
        <w:ind w:left="720" w:hanging="720"/>
      </w:pPr>
      <w:r>
        <w:t>2.2</w:t>
      </w:r>
      <w:r>
        <w:tab/>
      </w:r>
      <w:r w:rsidR="004F31FE" w:rsidRPr="00DD43A7">
        <w:t>Where possible</w:t>
      </w:r>
      <w:r w:rsidR="00554B51" w:rsidRPr="00DD43A7">
        <w:t>,</w:t>
      </w:r>
      <w:r w:rsidR="004F31FE" w:rsidRPr="00DD43A7">
        <w:t xml:space="preserve"> exclusionary screening criteria will be used to address the above issues. Where it is not possible to define screening criteria for a particular issue, investment managers will </w:t>
      </w:r>
      <w:r w:rsidR="00E34FE5" w:rsidRPr="00DD43A7">
        <w:t xml:space="preserve">be </w:t>
      </w:r>
      <w:r w:rsidR="004F31FE" w:rsidRPr="00DD43A7">
        <w:t xml:space="preserve">expected to report regularly </w:t>
      </w:r>
      <w:r w:rsidR="00E34FE5" w:rsidRPr="00DD43A7">
        <w:t>to the Financ</w:t>
      </w:r>
      <w:r w:rsidR="00B8631C" w:rsidRPr="00DD43A7">
        <w:t>e and Infrastructure</w:t>
      </w:r>
      <w:r w:rsidR="00E34FE5" w:rsidRPr="00DD43A7">
        <w:t xml:space="preserve"> Committee </w:t>
      </w:r>
      <w:r w:rsidR="004F31FE" w:rsidRPr="00DD43A7">
        <w:t xml:space="preserve">on ESG issues, engagement and </w:t>
      </w:r>
      <w:r w:rsidR="00E34FE5" w:rsidRPr="00DD43A7">
        <w:t>voting activity.</w:t>
      </w:r>
    </w:p>
    <w:p w14:paraId="60B846AB" w14:textId="23EFF9E2" w:rsidR="00941C54" w:rsidRPr="00DD43A7" w:rsidRDefault="005B4845" w:rsidP="005B4845">
      <w:pPr>
        <w:ind w:left="720" w:hanging="720"/>
      </w:pPr>
      <w:r>
        <w:t>2.3</w:t>
      </w:r>
      <w:r>
        <w:tab/>
      </w:r>
      <w:r w:rsidR="00941C54" w:rsidRPr="00DD43A7">
        <w:t xml:space="preserve">The University has endorsed the ‘fossil free pledge’ which is attached as </w:t>
      </w:r>
      <w:r w:rsidR="00941C54" w:rsidRPr="00DD43A7">
        <w:rPr>
          <w:b/>
        </w:rPr>
        <w:t>Annex A</w:t>
      </w:r>
      <w:r w:rsidR="00941C54" w:rsidRPr="00DD43A7">
        <w:t>.</w:t>
      </w:r>
    </w:p>
    <w:p w14:paraId="1ED55289" w14:textId="780DABC7" w:rsidR="008A1106" w:rsidRDefault="008A1106" w:rsidP="00170605">
      <w:pPr>
        <w:pStyle w:val="Heading1"/>
      </w:pPr>
    </w:p>
    <w:p w14:paraId="3F83DCBE" w14:textId="77777777" w:rsidR="00170605" w:rsidRPr="00DD43A7" w:rsidRDefault="00170605" w:rsidP="00170605">
      <w:pPr>
        <w:pStyle w:val="Heading1"/>
      </w:pPr>
    </w:p>
    <w:p w14:paraId="01D9B922" w14:textId="197A59BF" w:rsidR="004F31FE" w:rsidRPr="00170605" w:rsidRDefault="004F31FE" w:rsidP="00170605">
      <w:pPr>
        <w:pStyle w:val="Heading2"/>
      </w:pPr>
      <w:r w:rsidRPr="00170605">
        <w:lastRenderedPageBreak/>
        <w:t>Influencing Corporate Behaviour</w:t>
      </w:r>
    </w:p>
    <w:p w14:paraId="2F12E531" w14:textId="590801C9" w:rsidR="004F31FE" w:rsidRPr="00DD43A7" w:rsidRDefault="005B4845" w:rsidP="005B4845">
      <w:pPr>
        <w:ind w:left="720" w:hanging="720"/>
      </w:pPr>
      <w:r>
        <w:t>3.1</w:t>
      </w:r>
      <w:r>
        <w:tab/>
      </w:r>
      <w:r w:rsidR="008A1106" w:rsidRPr="00DD43A7">
        <w:t>As an investor, the University has three means of bringing pressure to bear on corporate behaviour:</w:t>
      </w:r>
    </w:p>
    <w:p w14:paraId="51F68E10" w14:textId="3723F78C" w:rsidR="008A1106" w:rsidRPr="00DD43A7" w:rsidRDefault="005B4845" w:rsidP="005B4845">
      <w:pPr>
        <w:ind w:left="1695" w:hanging="975"/>
      </w:pPr>
      <w:r>
        <w:rPr>
          <w:i/>
        </w:rPr>
        <w:t>a.</w:t>
      </w:r>
      <w:r>
        <w:rPr>
          <w:i/>
        </w:rPr>
        <w:tab/>
      </w:r>
      <w:r w:rsidR="008A1106" w:rsidRPr="00DD43A7">
        <w:rPr>
          <w:i/>
        </w:rPr>
        <w:t>Judicious acquisition</w:t>
      </w:r>
      <w:r w:rsidR="008A1106" w:rsidRPr="00DD43A7">
        <w:t xml:space="preserve">: where the University’s investment managers </w:t>
      </w:r>
      <w:r>
        <w:t>I</w:t>
      </w:r>
      <w:r w:rsidR="008A1106" w:rsidRPr="00DD43A7">
        <w:t>ncorporate ESG issues into the investment decision-making process, including the use of screening criteria.</w:t>
      </w:r>
    </w:p>
    <w:p w14:paraId="0AE215BD" w14:textId="244431C8" w:rsidR="008A1106" w:rsidRPr="00DD43A7" w:rsidRDefault="005B4845" w:rsidP="005B4845">
      <w:pPr>
        <w:ind w:left="1695" w:hanging="975"/>
      </w:pPr>
      <w:r>
        <w:rPr>
          <w:i/>
        </w:rPr>
        <w:t>b.</w:t>
      </w:r>
      <w:r>
        <w:rPr>
          <w:i/>
        </w:rPr>
        <w:tab/>
      </w:r>
      <w:r w:rsidR="008A1106" w:rsidRPr="00DD43A7">
        <w:rPr>
          <w:i/>
        </w:rPr>
        <w:t>Divestment</w:t>
      </w:r>
      <w:r w:rsidR="008A1106" w:rsidRPr="00DD43A7">
        <w:t>: where the University’s investment managers may divest of funds where the company is in fundamental breach of normative standards.</w:t>
      </w:r>
    </w:p>
    <w:p w14:paraId="6C701192" w14:textId="3E37E460" w:rsidR="008A1106" w:rsidRPr="00DD43A7" w:rsidRDefault="005B4845" w:rsidP="005B4845">
      <w:pPr>
        <w:ind w:left="1695" w:hanging="975"/>
      </w:pPr>
      <w:r>
        <w:rPr>
          <w:i/>
        </w:rPr>
        <w:t>c.</w:t>
      </w:r>
      <w:r>
        <w:rPr>
          <w:i/>
        </w:rPr>
        <w:tab/>
      </w:r>
      <w:r w:rsidR="008A1106" w:rsidRPr="00DD43A7">
        <w:rPr>
          <w:i/>
        </w:rPr>
        <w:t>Stewardship</w:t>
      </w:r>
      <w:r w:rsidR="008A1106" w:rsidRPr="00DD43A7">
        <w:t>: through which the University’s investment managers influence the ESG related strategies of the companies in which the University is a stakeholder both via proxy voting and investor engagement.</w:t>
      </w:r>
    </w:p>
    <w:p w14:paraId="6102FF23" w14:textId="77777777" w:rsidR="008A1106" w:rsidRPr="00DD43A7" w:rsidRDefault="008A1106" w:rsidP="00170605">
      <w:pPr>
        <w:pStyle w:val="Heading1"/>
      </w:pPr>
    </w:p>
    <w:p w14:paraId="02C1F48F" w14:textId="665EA6AE" w:rsidR="008A1106" w:rsidRPr="00170605" w:rsidRDefault="008A1106" w:rsidP="00170605">
      <w:pPr>
        <w:pStyle w:val="Heading2"/>
      </w:pPr>
      <w:r w:rsidRPr="00170605">
        <w:t>Reporting and Monitoring</w:t>
      </w:r>
    </w:p>
    <w:p w14:paraId="3215DB76" w14:textId="0FB16950" w:rsidR="008A1106" w:rsidRPr="00DD43A7" w:rsidRDefault="005B4845" w:rsidP="005B4845">
      <w:pPr>
        <w:ind w:left="720" w:hanging="720"/>
      </w:pPr>
      <w:r>
        <w:t>4.1</w:t>
      </w:r>
      <w:r>
        <w:tab/>
      </w:r>
      <w:r w:rsidR="0096489B" w:rsidRPr="00DD43A7">
        <w:t>The Financ</w:t>
      </w:r>
      <w:r w:rsidR="00B8631C" w:rsidRPr="00DD43A7">
        <w:t xml:space="preserve">e and Infrastructure </w:t>
      </w:r>
      <w:r w:rsidR="0096489B" w:rsidRPr="00DD43A7">
        <w:t xml:space="preserve">Committee is the </w:t>
      </w:r>
      <w:r w:rsidR="00C252DA" w:rsidRPr="00DD43A7">
        <w:t>body which monitors the University’s investment portfolio.</w:t>
      </w:r>
      <w:r w:rsidR="00E34FE5" w:rsidRPr="00DD43A7">
        <w:t xml:space="preserve"> </w:t>
      </w:r>
      <w:r w:rsidR="00C252DA" w:rsidRPr="00DD43A7">
        <w:t>The Financ</w:t>
      </w:r>
      <w:r w:rsidR="00B8631C" w:rsidRPr="00DD43A7">
        <w:t xml:space="preserve">e and Infrastructure </w:t>
      </w:r>
      <w:r w:rsidR="00C252DA" w:rsidRPr="00DD43A7">
        <w:t xml:space="preserve">Committee </w:t>
      </w:r>
      <w:r w:rsidR="00E34FE5" w:rsidRPr="00DD43A7">
        <w:t>will</w:t>
      </w:r>
      <w:r w:rsidR="00C252DA" w:rsidRPr="00DD43A7">
        <w:t xml:space="preserve"> meet regularly</w:t>
      </w:r>
      <w:r w:rsidR="00E34FE5" w:rsidRPr="00DD43A7">
        <w:t>,</w:t>
      </w:r>
      <w:r w:rsidR="00C252DA" w:rsidRPr="00DD43A7">
        <w:t xml:space="preserve"> in accordance with its Terms of Reference, to review the performance of each portfolio against targets and </w:t>
      </w:r>
      <w:r w:rsidR="00E34FE5" w:rsidRPr="00DD43A7">
        <w:t>suitable benchmarks.</w:t>
      </w:r>
    </w:p>
    <w:p w14:paraId="37BAA095" w14:textId="77777777" w:rsidR="00CF55B3" w:rsidRPr="00DD43A7" w:rsidRDefault="00CF55B3" w:rsidP="00170605">
      <w:pPr>
        <w:pStyle w:val="Heading1"/>
      </w:pPr>
    </w:p>
    <w:p w14:paraId="7E0E26F4" w14:textId="03860039" w:rsidR="00C252DA" w:rsidRPr="00170605" w:rsidRDefault="00C252DA" w:rsidP="00170605">
      <w:pPr>
        <w:pStyle w:val="Heading2"/>
      </w:pPr>
      <w:r w:rsidRPr="00170605">
        <w:t>Approval and Review</w:t>
      </w:r>
    </w:p>
    <w:p w14:paraId="790BB7C9" w14:textId="3E34FB12" w:rsidR="00E34FE5" w:rsidRPr="00DD43A7" w:rsidRDefault="005B4845" w:rsidP="005B4845">
      <w:pPr>
        <w:ind w:left="720" w:hanging="720"/>
      </w:pPr>
      <w:r>
        <w:t>5.1</w:t>
      </w:r>
      <w:r>
        <w:tab/>
      </w:r>
      <w:r w:rsidR="00554B51" w:rsidRPr="00DD43A7">
        <w:t>This policy is</w:t>
      </w:r>
      <w:r w:rsidR="00C252DA" w:rsidRPr="00DD43A7">
        <w:t xml:space="preserve"> a living document and s</w:t>
      </w:r>
      <w:r w:rsidR="00E34FE5" w:rsidRPr="00DD43A7">
        <w:t>hould</w:t>
      </w:r>
      <w:r w:rsidR="00C252DA" w:rsidRPr="00DD43A7">
        <w:t xml:space="preserve"> be r</w:t>
      </w:r>
      <w:r w:rsidR="00554B51" w:rsidRPr="00DD43A7">
        <w:t xml:space="preserve">eviewed </w:t>
      </w:r>
      <w:r w:rsidR="0040228E" w:rsidRPr="00DD43A7">
        <w:t>regularly</w:t>
      </w:r>
      <w:r w:rsidR="00554B51" w:rsidRPr="00DD43A7">
        <w:t xml:space="preserve"> by the Financ</w:t>
      </w:r>
      <w:r w:rsidR="00B8631C" w:rsidRPr="00DD43A7">
        <w:t xml:space="preserve">e and Infrastructure </w:t>
      </w:r>
      <w:r w:rsidR="00554B51" w:rsidRPr="00DD43A7">
        <w:t xml:space="preserve">Committee to ensure that it remains fit for purpose. Any </w:t>
      </w:r>
      <w:r w:rsidR="007F7A86" w:rsidRPr="00DD43A7">
        <w:t xml:space="preserve">proposed </w:t>
      </w:r>
      <w:r w:rsidR="00554B51" w:rsidRPr="00DD43A7">
        <w:t xml:space="preserve">changes to this policy are subject to the </w:t>
      </w:r>
      <w:r w:rsidR="00E34FE5" w:rsidRPr="00DD43A7">
        <w:t>approval of the Board of Governors.</w:t>
      </w:r>
    </w:p>
    <w:p w14:paraId="5F958225" w14:textId="50054684" w:rsidR="00CD57C4" w:rsidRPr="00DD43A7" w:rsidRDefault="00CD57C4" w:rsidP="00E678E5">
      <w:pPr>
        <w:pStyle w:val="TableParagraph"/>
        <w:rPr>
          <w:sz w:val="24"/>
          <w:szCs w:val="24"/>
        </w:rPr>
      </w:pPr>
    </w:p>
    <w:sectPr w:rsidR="00CD57C4" w:rsidRPr="00DD43A7" w:rsidSect="00CD57C4">
      <w:headerReference w:type="default" r:id="rId9"/>
      <w:pgSz w:w="11910" w:h="16840"/>
      <w:pgMar w:top="1784" w:right="1200" w:bottom="280" w:left="1196" w:header="10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D3B9" w14:textId="77777777" w:rsidR="007F65B1" w:rsidRDefault="007F65B1" w:rsidP="00430672">
      <w:pPr>
        <w:spacing w:after="0" w:line="240" w:lineRule="auto"/>
      </w:pPr>
      <w:r>
        <w:separator/>
      </w:r>
    </w:p>
  </w:endnote>
  <w:endnote w:type="continuationSeparator" w:id="0">
    <w:p w14:paraId="7478BCA2" w14:textId="77777777" w:rsidR="007F65B1" w:rsidRDefault="007F65B1" w:rsidP="0043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FE50" w14:textId="77777777" w:rsidR="007F65B1" w:rsidRDefault="007F65B1" w:rsidP="00430672">
      <w:pPr>
        <w:spacing w:after="0" w:line="240" w:lineRule="auto"/>
      </w:pPr>
      <w:r>
        <w:separator/>
      </w:r>
    </w:p>
  </w:footnote>
  <w:footnote w:type="continuationSeparator" w:id="0">
    <w:p w14:paraId="0C6A1CFA" w14:textId="77777777" w:rsidR="007F65B1" w:rsidRDefault="007F65B1" w:rsidP="0043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CF2A" w14:textId="6B655A42" w:rsidR="00ED6E53" w:rsidRDefault="00ED6E53">
    <w:pPr>
      <w:pStyle w:val="Header"/>
      <w:pBdr>
        <w:bottom w:val="single" w:sz="6" w:space="1" w:color="auto"/>
      </w:pBdr>
    </w:pPr>
    <w:r>
      <w:t>Document title</w:t>
    </w:r>
  </w:p>
  <w:p w14:paraId="0AB450E7" w14:textId="77777777" w:rsidR="00C83275" w:rsidRDefault="00C83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460E" w14:textId="77777777" w:rsidR="00C83275" w:rsidRDefault="00C83275">
    <w:pPr>
      <w:pStyle w:val="Header"/>
    </w:pPr>
  </w:p>
  <w:p w14:paraId="23CDC8D4" w14:textId="3BB1DB8E" w:rsidR="00C83275" w:rsidRDefault="00C83275">
    <w:pPr>
      <w:pStyle w:val="Header"/>
    </w:pPr>
    <w:r>
      <w:rPr>
        <w:noProof/>
        <w:lang w:bidi="ar-SA"/>
      </w:rPr>
      <w:drawing>
        <wp:inline distT="0" distB="0" distL="0" distR="0" wp14:anchorId="31409EBE" wp14:editId="13122EB8">
          <wp:extent cx="1182370" cy="1182370"/>
          <wp:effectExtent l="0" t="0" r="11430" b="11430"/>
          <wp:docPr id="2" name="Picture 2" title="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thSpaUniversity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370" cy="1182370"/>
                  </a:xfrm>
                  <a:prstGeom prst="rect">
                    <a:avLst/>
                  </a:prstGeom>
                  <a:effectLst>
                    <a:outerShdw blurRad="50800" dist="50800" dir="5400000" sx="44000" sy="44000" algn="ctr" rotWithShape="0">
                      <a:srgbClr val="000000">
                        <a:alpha val="43137"/>
                      </a:srgbClr>
                    </a:outerShdw>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CCAF" w14:textId="21F4A350" w:rsidR="001055BC" w:rsidRPr="00E34FE5" w:rsidRDefault="001055BC" w:rsidP="00E3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CE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C781B"/>
    <w:multiLevelType w:val="multilevel"/>
    <w:tmpl w:val="67823C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2F29D8"/>
    <w:multiLevelType w:val="hybridMultilevel"/>
    <w:tmpl w:val="4B44C930"/>
    <w:lvl w:ilvl="0" w:tplc="C4045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E76EB"/>
    <w:multiLevelType w:val="multilevel"/>
    <w:tmpl w:val="DDD001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4E7C99"/>
    <w:multiLevelType w:val="hybridMultilevel"/>
    <w:tmpl w:val="D5DAB348"/>
    <w:lvl w:ilvl="0" w:tplc="863C14B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43CC9"/>
    <w:multiLevelType w:val="hybridMultilevel"/>
    <w:tmpl w:val="D666C09A"/>
    <w:lvl w:ilvl="0" w:tplc="62BE8268">
      <w:start w:val="1"/>
      <w:numFmt w:val="bullet"/>
      <w:pStyle w:val="ListParagraph"/>
      <w:lvlText w:val=""/>
      <w:lvlJc w:val="left"/>
      <w:pPr>
        <w:ind w:left="941" w:hanging="360"/>
      </w:pPr>
      <w:rPr>
        <w:rFonts w:ascii="Symbol" w:hAnsi="Symbol" w:hint="default"/>
      </w:rPr>
    </w:lvl>
    <w:lvl w:ilvl="1" w:tplc="08090003">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6" w15:restartNumberingAfterBreak="0">
    <w:nsid w:val="42EF0932"/>
    <w:multiLevelType w:val="hybridMultilevel"/>
    <w:tmpl w:val="E8F0C1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3217C"/>
    <w:multiLevelType w:val="multilevel"/>
    <w:tmpl w:val="89BA1892"/>
    <w:lvl w:ilvl="0">
      <w:start w:val="1"/>
      <w:numFmt w:val="decimal"/>
      <w:lvlText w:val="%1"/>
      <w:lvlJc w:val="left"/>
      <w:pPr>
        <w:ind w:left="788" w:hanging="567"/>
      </w:pPr>
      <w:rPr>
        <w:rFonts w:ascii="Arial" w:eastAsia="Arial" w:hAnsi="Arial" w:cs="Arial" w:hint="default"/>
        <w:b/>
        <w:bCs/>
        <w:w w:val="99"/>
        <w:sz w:val="20"/>
        <w:szCs w:val="20"/>
        <w:lang w:val="en-GB" w:eastAsia="en-GB" w:bidi="en-GB"/>
      </w:rPr>
    </w:lvl>
    <w:lvl w:ilvl="1">
      <w:start w:val="1"/>
      <w:numFmt w:val="decimal"/>
      <w:lvlText w:val="%1.%2"/>
      <w:lvlJc w:val="left"/>
      <w:pPr>
        <w:ind w:left="788" w:hanging="567"/>
      </w:pPr>
      <w:rPr>
        <w:rFonts w:ascii="Arial" w:eastAsia="Arial" w:hAnsi="Arial" w:cs="Arial" w:hint="default"/>
        <w:spacing w:val="-1"/>
        <w:w w:val="99"/>
        <w:sz w:val="20"/>
        <w:szCs w:val="20"/>
        <w:lang w:val="en-GB" w:eastAsia="en-GB" w:bidi="en-GB"/>
      </w:rPr>
    </w:lvl>
    <w:lvl w:ilvl="2">
      <w:start w:val="1"/>
      <w:numFmt w:val="lowerRoman"/>
      <w:lvlText w:val="%3."/>
      <w:lvlJc w:val="left"/>
      <w:pPr>
        <w:ind w:left="1354" w:hanging="382"/>
        <w:jc w:val="right"/>
      </w:pPr>
      <w:rPr>
        <w:rFonts w:ascii="Arial" w:eastAsia="Arial" w:hAnsi="Arial" w:cs="Arial" w:hint="default"/>
        <w:spacing w:val="-2"/>
        <w:w w:val="99"/>
        <w:sz w:val="20"/>
        <w:szCs w:val="20"/>
        <w:lang w:val="en-GB" w:eastAsia="en-GB" w:bidi="en-GB"/>
      </w:rPr>
    </w:lvl>
    <w:lvl w:ilvl="3">
      <w:numFmt w:val="bullet"/>
      <w:lvlText w:val="•"/>
      <w:lvlJc w:val="left"/>
      <w:pPr>
        <w:ind w:left="3259" w:hanging="382"/>
      </w:pPr>
      <w:rPr>
        <w:rFonts w:hint="default"/>
        <w:lang w:val="en-GB" w:eastAsia="en-GB" w:bidi="en-GB"/>
      </w:rPr>
    </w:lvl>
    <w:lvl w:ilvl="4">
      <w:numFmt w:val="bullet"/>
      <w:lvlText w:val="•"/>
      <w:lvlJc w:val="left"/>
      <w:pPr>
        <w:ind w:left="4208" w:hanging="382"/>
      </w:pPr>
      <w:rPr>
        <w:rFonts w:hint="default"/>
        <w:lang w:val="en-GB" w:eastAsia="en-GB" w:bidi="en-GB"/>
      </w:rPr>
    </w:lvl>
    <w:lvl w:ilvl="5">
      <w:numFmt w:val="bullet"/>
      <w:lvlText w:val="•"/>
      <w:lvlJc w:val="left"/>
      <w:pPr>
        <w:ind w:left="5158" w:hanging="382"/>
      </w:pPr>
      <w:rPr>
        <w:rFonts w:hint="default"/>
        <w:lang w:val="en-GB" w:eastAsia="en-GB" w:bidi="en-GB"/>
      </w:rPr>
    </w:lvl>
    <w:lvl w:ilvl="6">
      <w:numFmt w:val="bullet"/>
      <w:lvlText w:val="•"/>
      <w:lvlJc w:val="left"/>
      <w:pPr>
        <w:ind w:left="6108" w:hanging="382"/>
      </w:pPr>
      <w:rPr>
        <w:rFonts w:hint="default"/>
        <w:lang w:val="en-GB" w:eastAsia="en-GB" w:bidi="en-GB"/>
      </w:rPr>
    </w:lvl>
    <w:lvl w:ilvl="7">
      <w:numFmt w:val="bullet"/>
      <w:lvlText w:val="•"/>
      <w:lvlJc w:val="left"/>
      <w:pPr>
        <w:ind w:left="7057" w:hanging="382"/>
      </w:pPr>
      <w:rPr>
        <w:rFonts w:hint="default"/>
        <w:lang w:val="en-GB" w:eastAsia="en-GB" w:bidi="en-GB"/>
      </w:rPr>
    </w:lvl>
    <w:lvl w:ilvl="8">
      <w:numFmt w:val="bullet"/>
      <w:lvlText w:val="•"/>
      <w:lvlJc w:val="left"/>
      <w:pPr>
        <w:ind w:left="8007" w:hanging="382"/>
      </w:pPr>
      <w:rPr>
        <w:rFonts w:hint="default"/>
        <w:lang w:val="en-GB" w:eastAsia="en-GB" w:bidi="en-GB"/>
      </w:rPr>
    </w:lvl>
  </w:abstractNum>
  <w:abstractNum w:abstractNumId="8" w15:restartNumberingAfterBreak="0">
    <w:nsid w:val="4F535827"/>
    <w:multiLevelType w:val="multilevel"/>
    <w:tmpl w:val="1AC8D3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7D257A"/>
    <w:multiLevelType w:val="multilevel"/>
    <w:tmpl w:val="CE623B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D60420"/>
    <w:multiLevelType w:val="multilevel"/>
    <w:tmpl w:val="DBDC15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082160A"/>
    <w:multiLevelType w:val="hybridMultilevel"/>
    <w:tmpl w:val="6D6A03A0"/>
    <w:lvl w:ilvl="0" w:tplc="8220A832">
      <w:numFmt w:val="bullet"/>
      <w:lvlText w:val=""/>
      <w:lvlJc w:val="left"/>
      <w:pPr>
        <w:ind w:left="2741" w:hanging="360"/>
      </w:pPr>
      <w:rPr>
        <w:rFonts w:ascii="Symbol" w:eastAsia="Symbol" w:hAnsi="Symbol" w:cs="Symbol" w:hint="default"/>
        <w:w w:val="99"/>
        <w:sz w:val="20"/>
        <w:szCs w:val="20"/>
        <w:lang w:val="en-GB" w:eastAsia="en-GB" w:bidi="en-GB"/>
      </w:rPr>
    </w:lvl>
    <w:lvl w:ilvl="1" w:tplc="3A646C6E">
      <w:numFmt w:val="bullet"/>
      <w:lvlText w:val="•"/>
      <w:lvlJc w:val="left"/>
      <w:pPr>
        <w:ind w:left="3456" w:hanging="360"/>
      </w:pPr>
      <w:rPr>
        <w:rFonts w:hint="default"/>
        <w:lang w:val="en-GB" w:eastAsia="en-GB" w:bidi="en-GB"/>
      </w:rPr>
    </w:lvl>
    <w:lvl w:ilvl="2" w:tplc="57220862">
      <w:numFmt w:val="bullet"/>
      <w:lvlText w:val="•"/>
      <w:lvlJc w:val="left"/>
      <w:pPr>
        <w:ind w:left="4173" w:hanging="360"/>
      </w:pPr>
      <w:rPr>
        <w:rFonts w:hint="default"/>
        <w:lang w:val="en-GB" w:eastAsia="en-GB" w:bidi="en-GB"/>
      </w:rPr>
    </w:lvl>
    <w:lvl w:ilvl="3" w:tplc="114ABD42">
      <w:numFmt w:val="bullet"/>
      <w:lvlText w:val="•"/>
      <w:lvlJc w:val="left"/>
      <w:pPr>
        <w:ind w:left="4889" w:hanging="360"/>
      </w:pPr>
      <w:rPr>
        <w:rFonts w:hint="default"/>
        <w:lang w:val="en-GB" w:eastAsia="en-GB" w:bidi="en-GB"/>
      </w:rPr>
    </w:lvl>
    <w:lvl w:ilvl="4" w:tplc="1A744B92">
      <w:numFmt w:val="bullet"/>
      <w:lvlText w:val="•"/>
      <w:lvlJc w:val="left"/>
      <w:pPr>
        <w:ind w:left="5606" w:hanging="360"/>
      </w:pPr>
      <w:rPr>
        <w:rFonts w:hint="default"/>
        <w:lang w:val="en-GB" w:eastAsia="en-GB" w:bidi="en-GB"/>
      </w:rPr>
    </w:lvl>
    <w:lvl w:ilvl="5" w:tplc="A1D4A902">
      <w:numFmt w:val="bullet"/>
      <w:lvlText w:val="•"/>
      <w:lvlJc w:val="left"/>
      <w:pPr>
        <w:ind w:left="6323" w:hanging="360"/>
      </w:pPr>
      <w:rPr>
        <w:rFonts w:hint="default"/>
        <w:lang w:val="en-GB" w:eastAsia="en-GB" w:bidi="en-GB"/>
      </w:rPr>
    </w:lvl>
    <w:lvl w:ilvl="6" w:tplc="4388167E">
      <w:numFmt w:val="bullet"/>
      <w:lvlText w:val="•"/>
      <w:lvlJc w:val="left"/>
      <w:pPr>
        <w:ind w:left="7039" w:hanging="360"/>
      </w:pPr>
      <w:rPr>
        <w:rFonts w:hint="default"/>
        <w:lang w:val="en-GB" w:eastAsia="en-GB" w:bidi="en-GB"/>
      </w:rPr>
    </w:lvl>
    <w:lvl w:ilvl="7" w:tplc="577ED8AA">
      <w:numFmt w:val="bullet"/>
      <w:lvlText w:val="•"/>
      <w:lvlJc w:val="left"/>
      <w:pPr>
        <w:ind w:left="7756" w:hanging="360"/>
      </w:pPr>
      <w:rPr>
        <w:rFonts w:hint="default"/>
        <w:lang w:val="en-GB" w:eastAsia="en-GB" w:bidi="en-GB"/>
      </w:rPr>
    </w:lvl>
    <w:lvl w:ilvl="8" w:tplc="AE58D1A0">
      <w:numFmt w:val="bullet"/>
      <w:lvlText w:val="•"/>
      <w:lvlJc w:val="left"/>
      <w:pPr>
        <w:ind w:left="8473" w:hanging="360"/>
      </w:pPr>
      <w:rPr>
        <w:rFonts w:hint="default"/>
        <w:lang w:val="en-GB" w:eastAsia="en-GB" w:bidi="en-GB"/>
      </w:rPr>
    </w:lvl>
  </w:abstractNum>
  <w:abstractNum w:abstractNumId="12" w15:restartNumberingAfterBreak="0">
    <w:nsid w:val="6EBC7F86"/>
    <w:multiLevelType w:val="hybridMultilevel"/>
    <w:tmpl w:val="1A8EF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153194">
    <w:abstractNumId w:val="11"/>
  </w:num>
  <w:num w:numId="2" w16cid:durableId="857698027">
    <w:abstractNumId w:val="7"/>
  </w:num>
  <w:num w:numId="3" w16cid:durableId="187766900">
    <w:abstractNumId w:val="0"/>
  </w:num>
  <w:num w:numId="4" w16cid:durableId="1846748237">
    <w:abstractNumId w:val="2"/>
  </w:num>
  <w:num w:numId="5" w16cid:durableId="689379201">
    <w:abstractNumId w:val="5"/>
  </w:num>
  <w:num w:numId="6" w16cid:durableId="1273980522">
    <w:abstractNumId w:val="6"/>
  </w:num>
  <w:num w:numId="7" w16cid:durableId="2099255450">
    <w:abstractNumId w:val="12"/>
  </w:num>
  <w:num w:numId="8" w16cid:durableId="754933309">
    <w:abstractNumId w:val="3"/>
  </w:num>
  <w:num w:numId="9" w16cid:durableId="1045063976">
    <w:abstractNumId w:val="8"/>
  </w:num>
  <w:num w:numId="10" w16cid:durableId="2116361344">
    <w:abstractNumId w:val="9"/>
  </w:num>
  <w:num w:numId="11" w16cid:durableId="933171751">
    <w:abstractNumId w:val="10"/>
  </w:num>
  <w:num w:numId="12" w16cid:durableId="1317683129">
    <w:abstractNumId w:val="1"/>
  </w:num>
  <w:num w:numId="13" w16cid:durableId="749036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67"/>
    <w:rsid w:val="00020A29"/>
    <w:rsid w:val="0005108E"/>
    <w:rsid w:val="000826ED"/>
    <w:rsid w:val="001055BC"/>
    <w:rsid w:val="00170605"/>
    <w:rsid w:val="001E438C"/>
    <w:rsid w:val="0027494D"/>
    <w:rsid w:val="002D7DAD"/>
    <w:rsid w:val="0030362A"/>
    <w:rsid w:val="0040228E"/>
    <w:rsid w:val="00430672"/>
    <w:rsid w:val="00433918"/>
    <w:rsid w:val="00451131"/>
    <w:rsid w:val="004723D9"/>
    <w:rsid w:val="004F31FE"/>
    <w:rsid w:val="00554B51"/>
    <w:rsid w:val="005B4845"/>
    <w:rsid w:val="005B4C88"/>
    <w:rsid w:val="005D30FF"/>
    <w:rsid w:val="005F0674"/>
    <w:rsid w:val="00620EDC"/>
    <w:rsid w:val="00623A76"/>
    <w:rsid w:val="006B088D"/>
    <w:rsid w:val="00723324"/>
    <w:rsid w:val="007D6A58"/>
    <w:rsid w:val="007F65B1"/>
    <w:rsid w:val="007F7A86"/>
    <w:rsid w:val="00856445"/>
    <w:rsid w:val="008A1106"/>
    <w:rsid w:val="009276F0"/>
    <w:rsid w:val="00941C54"/>
    <w:rsid w:val="0096489B"/>
    <w:rsid w:val="009D4458"/>
    <w:rsid w:val="009F6858"/>
    <w:rsid w:val="00A0291D"/>
    <w:rsid w:val="00A06CC1"/>
    <w:rsid w:val="00B02828"/>
    <w:rsid w:val="00B24E14"/>
    <w:rsid w:val="00B31D04"/>
    <w:rsid w:val="00B67172"/>
    <w:rsid w:val="00B8631C"/>
    <w:rsid w:val="00BE5D6B"/>
    <w:rsid w:val="00BF6059"/>
    <w:rsid w:val="00C079B1"/>
    <w:rsid w:val="00C252DA"/>
    <w:rsid w:val="00C47A5E"/>
    <w:rsid w:val="00C83275"/>
    <w:rsid w:val="00CA195D"/>
    <w:rsid w:val="00CD57C4"/>
    <w:rsid w:val="00CF55B3"/>
    <w:rsid w:val="00D077F7"/>
    <w:rsid w:val="00D5395E"/>
    <w:rsid w:val="00D71C67"/>
    <w:rsid w:val="00DD43A7"/>
    <w:rsid w:val="00E025C1"/>
    <w:rsid w:val="00E34FE5"/>
    <w:rsid w:val="00E56AF3"/>
    <w:rsid w:val="00E678E5"/>
    <w:rsid w:val="00E804D6"/>
    <w:rsid w:val="00EC02CF"/>
    <w:rsid w:val="00ED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EDAB"/>
  <w15:docId w15:val="{B06F5058-679C-482A-A524-2AE15C82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57C4"/>
    <w:pPr>
      <w:spacing w:after="240" w:line="264" w:lineRule="auto"/>
    </w:pPr>
    <w:rPr>
      <w:rFonts w:ascii="Arial" w:eastAsia="Arial" w:hAnsi="Arial" w:cs="Arial"/>
      <w:sz w:val="24"/>
      <w:lang w:val="en-GB" w:eastAsia="en-GB" w:bidi="en-GB"/>
    </w:rPr>
  </w:style>
  <w:style w:type="paragraph" w:styleId="Heading1">
    <w:name w:val="heading 1"/>
    <w:basedOn w:val="Title"/>
    <w:uiPriority w:val="1"/>
    <w:qFormat/>
    <w:rsid w:val="00170605"/>
    <w:pPr>
      <w:outlineLvl w:val="0"/>
    </w:pPr>
  </w:style>
  <w:style w:type="paragraph" w:styleId="Heading2">
    <w:name w:val="heading 2"/>
    <w:basedOn w:val="ListParagraph"/>
    <w:next w:val="Normal"/>
    <w:link w:val="Heading2Char"/>
    <w:uiPriority w:val="9"/>
    <w:unhideWhenUsed/>
    <w:qFormat/>
    <w:rsid w:val="00170605"/>
    <w:pPr>
      <w:numPr>
        <w:numId w:val="13"/>
      </w:numPr>
      <w:ind w:hanging="720"/>
      <w:outlineLvl w:val="1"/>
    </w:pPr>
    <w:rPr>
      <w:b/>
      <w:bCs/>
    </w:rPr>
  </w:style>
  <w:style w:type="paragraph" w:styleId="Heading3">
    <w:name w:val="heading 3"/>
    <w:basedOn w:val="Heading1"/>
    <w:next w:val="Normal"/>
    <w:link w:val="Heading3Char"/>
    <w:uiPriority w:val="9"/>
    <w:unhideWhenUsed/>
    <w:qFormat/>
    <w:rsid w:val="00EC02CF"/>
    <w:pPr>
      <w:spacing w:before="120"/>
      <w:ind w:left="1219" w:hanging="425"/>
      <w:outlineLvl w:val="2"/>
    </w:pPr>
    <w:rPr>
      <w:b/>
      <w:sz w:val="28"/>
    </w:rPr>
  </w:style>
  <w:style w:type="paragraph" w:styleId="Heading4">
    <w:name w:val="heading 4"/>
    <w:basedOn w:val="Heading1"/>
    <w:next w:val="Normal"/>
    <w:link w:val="Heading4Char"/>
    <w:uiPriority w:val="9"/>
    <w:unhideWhenUsed/>
    <w:qFormat/>
    <w:rsid w:val="005B4C88"/>
    <w:pPr>
      <w:keepNext/>
      <w:keepLines/>
      <w:spacing w:before="40"/>
      <w:ind w:left="357" w:hanging="357"/>
      <w:outlineLvl w:val="3"/>
    </w:pPr>
    <w:rPr>
      <w:b/>
      <w:i/>
      <w:iCs/>
      <w:color w:val="000000" w:themeColor="text1"/>
      <w:sz w:val="24"/>
    </w:rPr>
  </w:style>
  <w:style w:type="paragraph" w:styleId="Heading5">
    <w:name w:val="heading 5"/>
    <w:basedOn w:val="Normal"/>
    <w:next w:val="Normal"/>
    <w:link w:val="Heading5Char"/>
    <w:uiPriority w:val="9"/>
    <w:semiHidden/>
    <w:unhideWhenUsed/>
    <w:qFormat/>
    <w:rsid w:val="00B24E14"/>
    <w:pPr>
      <w:keepNext/>
      <w:keepLines/>
      <w:spacing w:before="40" w:after="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4C88"/>
    <w:pPr>
      <w:numPr>
        <w:numId w:val="5"/>
      </w:numPr>
      <w:spacing w:after="120" w:line="240" w:lineRule="auto"/>
      <w:ind w:left="641" w:hanging="357"/>
    </w:pPr>
  </w:style>
  <w:style w:type="paragraph" w:customStyle="1" w:styleId="TableParagraph">
    <w:name w:val="Table Paragraph"/>
    <w:basedOn w:val="Normal"/>
    <w:uiPriority w:val="1"/>
    <w:qFormat/>
    <w:rsid w:val="004723D9"/>
    <w:pPr>
      <w:spacing w:before="100" w:beforeAutospacing="1" w:after="100" w:afterAutospacing="1" w:line="211" w:lineRule="exact"/>
      <w:ind w:left="108"/>
    </w:pPr>
    <w:rPr>
      <w:sz w:val="20"/>
    </w:rPr>
  </w:style>
  <w:style w:type="paragraph" w:styleId="Header">
    <w:name w:val="header"/>
    <w:basedOn w:val="Normal"/>
    <w:link w:val="HeaderChar"/>
    <w:uiPriority w:val="99"/>
    <w:unhideWhenUsed/>
    <w:rsid w:val="00430672"/>
    <w:pPr>
      <w:tabs>
        <w:tab w:val="center" w:pos="4513"/>
        <w:tab w:val="right" w:pos="9026"/>
      </w:tabs>
    </w:pPr>
  </w:style>
  <w:style w:type="character" w:customStyle="1" w:styleId="HeaderChar">
    <w:name w:val="Header Char"/>
    <w:basedOn w:val="DefaultParagraphFont"/>
    <w:link w:val="Header"/>
    <w:uiPriority w:val="99"/>
    <w:rsid w:val="00430672"/>
    <w:rPr>
      <w:rFonts w:ascii="Arial" w:eastAsia="Arial" w:hAnsi="Arial" w:cs="Arial"/>
      <w:lang w:val="en-GB" w:eastAsia="en-GB" w:bidi="en-GB"/>
    </w:rPr>
  </w:style>
  <w:style w:type="paragraph" w:styleId="Footer">
    <w:name w:val="footer"/>
    <w:basedOn w:val="Normal"/>
    <w:link w:val="FooterChar"/>
    <w:uiPriority w:val="99"/>
    <w:unhideWhenUsed/>
    <w:rsid w:val="00430672"/>
    <w:pPr>
      <w:tabs>
        <w:tab w:val="center" w:pos="4513"/>
        <w:tab w:val="right" w:pos="9026"/>
      </w:tabs>
    </w:pPr>
  </w:style>
  <w:style w:type="character" w:customStyle="1" w:styleId="FooterChar">
    <w:name w:val="Footer Char"/>
    <w:basedOn w:val="DefaultParagraphFont"/>
    <w:link w:val="Footer"/>
    <w:uiPriority w:val="99"/>
    <w:rsid w:val="00430672"/>
    <w:rPr>
      <w:rFonts w:ascii="Arial" w:eastAsia="Arial" w:hAnsi="Arial" w:cs="Arial"/>
      <w:lang w:val="en-GB" w:eastAsia="en-GB" w:bidi="en-GB"/>
    </w:rPr>
  </w:style>
  <w:style w:type="paragraph" w:styleId="Title">
    <w:name w:val="Title"/>
    <w:basedOn w:val="Normal"/>
    <w:next w:val="Normal"/>
    <w:link w:val="TitleChar"/>
    <w:uiPriority w:val="10"/>
    <w:qFormat/>
    <w:rsid w:val="00C83275"/>
    <w:pPr>
      <w:contextualSpacing/>
    </w:pPr>
    <w:rPr>
      <w:rFonts w:eastAsiaTheme="majorEastAsia" w:cstheme="majorBidi"/>
      <w:spacing w:val="-5"/>
      <w:sz w:val="48"/>
      <w:szCs w:val="56"/>
    </w:rPr>
  </w:style>
  <w:style w:type="character" w:customStyle="1" w:styleId="TitleChar">
    <w:name w:val="Title Char"/>
    <w:basedOn w:val="DefaultParagraphFont"/>
    <w:link w:val="Title"/>
    <w:uiPriority w:val="10"/>
    <w:rsid w:val="00C83275"/>
    <w:rPr>
      <w:rFonts w:ascii="Arial" w:eastAsiaTheme="majorEastAsia" w:hAnsi="Arial" w:cstheme="majorBidi"/>
      <w:spacing w:val="-5"/>
      <w:sz w:val="48"/>
      <w:szCs w:val="56"/>
      <w:lang w:val="en-GB" w:eastAsia="en-GB" w:bidi="en-GB"/>
    </w:rPr>
  </w:style>
  <w:style w:type="paragraph" w:styleId="Subtitle">
    <w:name w:val="Subtitle"/>
    <w:basedOn w:val="Normal"/>
    <w:next w:val="Normal"/>
    <w:link w:val="SubtitleChar"/>
    <w:uiPriority w:val="11"/>
    <w:qFormat/>
    <w:rsid w:val="00D077F7"/>
    <w:pPr>
      <w:numPr>
        <w:ilvl w:val="1"/>
      </w:numPr>
      <w:spacing w:before="60" w:after="160"/>
    </w:pPr>
    <w:rPr>
      <w:rFonts w:eastAsiaTheme="minorEastAsia" w:cstheme="minorBidi"/>
      <w:color w:val="000000" w:themeColor="text1"/>
      <w:spacing w:val="18"/>
      <w:sz w:val="28"/>
    </w:rPr>
  </w:style>
  <w:style w:type="character" w:customStyle="1" w:styleId="SubtitleChar">
    <w:name w:val="Subtitle Char"/>
    <w:basedOn w:val="DefaultParagraphFont"/>
    <w:link w:val="Subtitle"/>
    <w:uiPriority w:val="11"/>
    <w:rsid w:val="00D077F7"/>
    <w:rPr>
      <w:rFonts w:ascii="Arial" w:eastAsiaTheme="minorEastAsia" w:hAnsi="Arial"/>
      <w:color w:val="000000" w:themeColor="text1"/>
      <w:spacing w:val="18"/>
      <w:sz w:val="28"/>
      <w:lang w:val="en-GB" w:eastAsia="en-GB" w:bidi="en-GB"/>
    </w:rPr>
  </w:style>
  <w:style w:type="character" w:customStyle="1" w:styleId="Heading2Char">
    <w:name w:val="Heading 2 Char"/>
    <w:basedOn w:val="DefaultParagraphFont"/>
    <w:link w:val="Heading2"/>
    <w:uiPriority w:val="9"/>
    <w:rsid w:val="00170605"/>
    <w:rPr>
      <w:rFonts w:ascii="Arial" w:eastAsia="Arial" w:hAnsi="Arial" w:cs="Arial"/>
      <w:b/>
      <w:bCs/>
      <w:sz w:val="24"/>
      <w:lang w:val="en-GB" w:eastAsia="en-GB" w:bidi="en-GB"/>
    </w:rPr>
  </w:style>
  <w:style w:type="character" w:customStyle="1" w:styleId="Heading3Char">
    <w:name w:val="Heading 3 Char"/>
    <w:basedOn w:val="DefaultParagraphFont"/>
    <w:link w:val="Heading3"/>
    <w:uiPriority w:val="9"/>
    <w:rsid w:val="00EC02CF"/>
    <w:rPr>
      <w:rFonts w:ascii="Arial" w:eastAsia="Arial" w:hAnsi="Arial" w:cs="Arial"/>
      <w:b/>
      <w:bCs/>
      <w:sz w:val="28"/>
      <w:szCs w:val="20"/>
      <w:lang w:val="en-GB" w:eastAsia="en-GB" w:bidi="en-GB"/>
    </w:rPr>
  </w:style>
  <w:style w:type="character" w:customStyle="1" w:styleId="Heading4Char">
    <w:name w:val="Heading 4 Char"/>
    <w:basedOn w:val="DefaultParagraphFont"/>
    <w:link w:val="Heading4"/>
    <w:uiPriority w:val="9"/>
    <w:rsid w:val="005B4C88"/>
    <w:rPr>
      <w:rFonts w:ascii="Arial" w:eastAsiaTheme="majorEastAsia" w:hAnsi="Arial" w:cstheme="majorBidi"/>
      <w:b/>
      <w:bCs/>
      <w:i/>
      <w:iCs/>
      <w:color w:val="000000" w:themeColor="text1"/>
      <w:sz w:val="24"/>
      <w:szCs w:val="20"/>
      <w:lang w:val="en-GB" w:eastAsia="en-GB" w:bidi="en-GB"/>
    </w:rPr>
  </w:style>
  <w:style w:type="character" w:customStyle="1" w:styleId="Heading5Char">
    <w:name w:val="Heading 5 Char"/>
    <w:basedOn w:val="DefaultParagraphFont"/>
    <w:link w:val="Heading5"/>
    <w:uiPriority w:val="9"/>
    <w:semiHidden/>
    <w:rsid w:val="00B24E14"/>
    <w:rPr>
      <w:rFonts w:ascii="Arial" w:eastAsiaTheme="majorEastAsia" w:hAnsi="Arial" w:cstheme="majorBidi"/>
      <w:color w:val="000000" w:themeColor="text1"/>
      <w:sz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492</Words>
  <Characters>2929</Characters>
  <Application>Microsoft Office Word</Application>
  <DocSecurity>0</DocSecurity>
  <Lines>88</Lines>
  <Paragraphs>47</Paragraphs>
  <ScaleCrop>false</ScaleCrop>
  <HeadingPairs>
    <vt:vector size="2" baseType="variant">
      <vt:variant>
        <vt:lpstr>Title</vt:lpstr>
      </vt:variant>
      <vt:variant>
        <vt:i4>1</vt:i4>
      </vt:variant>
    </vt:vector>
  </HeadingPairs>
  <TitlesOfParts>
    <vt:vector size="1" baseType="lpstr">
      <vt:lpstr/>
    </vt:vector>
  </TitlesOfParts>
  <Manager/>
  <Company>Bath Spa University</Company>
  <LinksUpToDate>false</LinksUpToDate>
  <CharactersWithSpaces>3375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Long-Common</cp:lastModifiedBy>
  <cp:revision>6</cp:revision>
  <dcterms:created xsi:type="dcterms:W3CDTF">2023-03-29T08:34:00Z</dcterms:created>
  <dcterms:modified xsi:type="dcterms:W3CDTF">2023-04-24T18:31:00Z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Acrobat PDFMaker 19 for Word</vt:lpwstr>
  </property>
  <property fmtid="{D5CDD505-2E9C-101B-9397-08002B2CF9AE}" pid="4" name="LastSaved">
    <vt:filetime>2019-01-17T00:00:00Z</vt:filetime>
  </property>
</Properties>
</file>