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5515" w14:textId="6525DCA1" w:rsidR="005F1189" w:rsidRPr="005F1189" w:rsidRDefault="2F5EBD00" w:rsidP="66D90B64">
      <w:r>
        <w:rPr>
          <w:noProof/>
        </w:rPr>
        <w:drawing>
          <wp:inline distT="0" distB="0" distL="0" distR="0" wp14:anchorId="1D10BB4C" wp14:editId="316F9ABB">
            <wp:extent cx="1350383" cy="1334179"/>
            <wp:effectExtent l="0" t="0" r="0" b="0"/>
            <wp:docPr id="1443315502" name="drawing" descr="BSU Student Wellb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15502" name="drawing" descr="BSU Student Wellbeing logo"/>
                    <pic:cNvPicPr/>
                  </pic:nvPicPr>
                  <pic:blipFill>
                    <a:blip r:embed="rId5">
                      <a:extLst>
                        <a:ext uri="{28A0092B-C50C-407E-A947-70E740481C1C}">
                          <a14:useLocalDpi xmlns:a14="http://schemas.microsoft.com/office/drawing/2010/main"/>
                        </a:ext>
                      </a:extLst>
                    </a:blip>
                    <a:stretch>
                      <a:fillRect/>
                    </a:stretch>
                  </pic:blipFill>
                  <pic:spPr>
                    <a:xfrm>
                      <a:off x="0" y="0"/>
                      <a:ext cx="1350383" cy="1334179"/>
                    </a:xfrm>
                    <a:prstGeom prst="rect">
                      <a:avLst/>
                    </a:prstGeom>
                  </pic:spPr>
                </pic:pic>
              </a:graphicData>
            </a:graphic>
          </wp:inline>
        </w:drawing>
      </w:r>
    </w:p>
    <w:p w14:paraId="16912288" w14:textId="31D1EA8A" w:rsidR="005F1189" w:rsidRPr="005F1189" w:rsidRDefault="005F1189" w:rsidP="00A131DA">
      <w:pPr>
        <w:pStyle w:val="Title"/>
      </w:pPr>
      <w:r w:rsidRPr="66D90B64">
        <w:t>BATH SPA UNIVERSITY STUDENT WELLBEING SERVICES</w:t>
      </w:r>
    </w:p>
    <w:p w14:paraId="58E68788" w14:textId="77777777" w:rsidR="005F1189" w:rsidRPr="005F1189" w:rsidRDefault="005F1189" w:rsidP="00A131DA">
      <w:pPr>
        <w:pStyle w:val="Heading1"/>
      </w:pPr>
      <w:r w:rsidRPr="005F1189">
        <w:t>MENTAL HEALTH SERVICE: EATING DISORDERS PROTOCOL</w:t>
      </w:r>
    </w:p>
    <w:p w14:paraId="1EEA5B3A" w14:textId="2B52362A" w:rsidR="005F1189" w:rsidRPr="005F1189" w:rsidRDefault="005F1189" w:rsidP="005F1189">
      <w:r w:rsidRPr="005F1189">
        <w:t xml:space="preserve">This protocol is intended to ensure that students at Bath Spa University who experience eating disorders receive timely, effective, and compassionate care, with robust clinical oversight and governance facilitated through our partnerships with local statutory services. The </w:t>
      </w:r>
      <w:hyperlink r:id="rId6" w:history="1">
        <w:r w:rsidRPr="005F1189">
          <w:rPr>
            <w:rStyle w:val="Hyperlink"/>
          </w:rPr>
          <w:t>Support to Study</w:t>
        </w:r>
      </w:hyperlink>
      <w:r w:rsidRPr="005F1189">
        <w:t xml:space="preserve"> and </w:t>
      </w:r>
      <w:hyperlink r:id="rId7" w:history="1">
        <w:r w:rsidRPr="005F1189">
          <w:rPr>
            <w:rStyle w:val="Hyperlink"/>
          </w:rPr>
          <w:t>Fitness to Study</w:t>
        </w:r>
      </w:hyperlink>
      <w:r w:rsidRPr="005F1189">
        <w:t xml:space="preserve"> processes ensure that students experiencing significant health challenges receive the necessary support to manage their condition while considering their ability to continue their studies safely.</w:t>
      </w:r>
    </w:p>
    <w:p w14:paraId="1FBA8C5A" w14:textId="77777777" w:rsidR="005F1189" w:rsidRPr="005F1189" w:rsidRDefault="005F1189" w:rsidP="00A131DA">
      <w:pPr>
        <w:pStyle w:val="Heading2"/>
      </w:pPr>
      <w:r w:rsidRPr="005F1189">
        <w:t>PURPOSE</w:t>
      </w:r>
    </w:p>
    <w:p w14:paraId="52A708B9" w14:textId="77777777" w:rsidR="005F1189" w:rsidRPr="005F1189" w:rsidRDefault="005F1189" w:rsidP="005F1189">
      <w:r w:rsidRPr="005F1189">
        <w:t>This protocol outlines the approach and procedures for managing and supporting students with eating disorders at Bath Spa University (BSU). It promotes a holistic, person-centred approach to support, acknowledging that eating disorders are complex conditions requiring individualised care planning and assessment.</w:t>
      </w:r>
    </w:p>
    <w:p w14:paraId="6D068B9A" w14:textId="77777777" w:rsidR="005F1189" w:rsidRPr="005F1189" w:rsidRDefault="005F1189" w:rsidP="00A131DA">
      <w:pPr>
        <w:pStyle w:val="Heading2"/>
      </w:pPr>
      <w:r w:rsidRPr="005F1189">
        <w:t>INTRODUCTION</w:t>
      </w:r>
    </w:p>
    <w:p w14:paraId="2F269074" w14:textId="3A51E411" w:rsidR="005F1189" w:rsidRPr="005F1189" w:rsidRDefault="005F1189" w:rsidP="005F1189">
      <w:r w:rsidRPr="005F1189">
        <w:t xml:space="preserve">Eating disorders are serious mental health conditions that require timely and appropriate intervention. BSU </w:t>
      </w:r>
      <w:hyperlink r:id="rId8" w:history="1">
        <w:r w:rsidRPr="005F1189">
          <w:rPr>
            <w:rStyle w:val="Hyperlink"/>
          </w:rPr>
          <w:t>Student Wellbeing Service</w:t>
        </w:r>
      </w:hyperlink>
      <w:r w:rsidRPr="005F1189">
        <w:t xml:space="preserve"> (SWS) is committed to providing comprehensive support to students experiencing eating disorders, taking into account the whole person and their individual circumstances, in line with contemporary best practice and evidence-based approaches.</w:t>
      </w:r>
    </w:p>
    <w:p w14:paraId="75806F34" w14:textId="77777777" w:rsidR="005F1189" w:rsidRPr="005F1189" w:rsidRDefault="005F1189" w:rsidP="00A131DA">
      <w:pPr>
        <w:pStyle w:val="Heading2"/>
      </w:pPr>
      <w:r w:rsidRPr="005F1189">
        <w:t>SCOPE</w:t>
      </w:r>
    </w:p>
    <w:p w14:paraId="5B371F84" w14:textId="0F1D8720" w:rsidR="005F1189" w:rsidRPr="005F1189" w:rsidRDefault="005F1189" w:rsidP="005F1189">
      <w:r w:rsidRPr="005F1189">
        <w:t xml:space="preserve">This policy applies to all Bath Spa University students who may be experiencing </w:t>
      </w:r>
      <w:hyperlink r:id="rId9" w:history="1">
        <w:r w:rsidRPr="005F1189">
          <w:rPr>
            <w:rStyle w:val="Hyperlink"/>
          </w:rPr>
          <w:t>eating disorders</w:t>
        </w:r>
      </w:hyperlink>
      <w:r w:rsidRPr="005F1189">
        <w:t xml:space="preserve">, including </w:t>
      </w:r>
      <w:hyperlink r:id="rId10" w:history="1">
        <w:r w:rsidRPr="005F1189">
          <w:rPr>
            <w:rStyle w:val="Hyperlink"/>
          </w:rPr>
          <w:t>anorexia, bulimia, binge eating disorder</w:t>
        </w:r>
      </w:hyperlink>
      <w:r w:rsidRPr="005F1189">
        <w:t>, and other specified eating disorders, both diagnosed and undiagnosed.</w:t>
      </w:r>
    </w:p>
    <w:p w14:paraId="6CC0EE15" w14:textId="77777777" w:rsidR="005F1189" w:rsidRPr="005F1189" w:rsidRDefault="005F1189" w:rsidP="00A131DA">
      <w:pPr>
        <w:pStyle w:val="Heading2"/>
      </w:pPr>
      <w:r w:rsidRPr="005F1189">
        <w:t>IDENTIFICATION AND ASSESSMENT</w:t>
      </w:r>
    </w:p>
    <w:p w14:paraId="407A8162" w14:textId="77777777" w:rsidR="005F1189" w:rsidRPr="005F1189" w:rsidRDefault="005F1189" w:rsidP="005F1189">
      <w:pPr>
        <w:numPr>
          <w:ilvl w:val="0"/>
          <w:numId w:val="1"/>
        </w:numPr>
      </w:pPr>
      <w:r w:rsidRPr="005F1189">
        <w:rPr>
          <w:b/>
          <w:bCs/>
        </w:rPr>
        <w:t>Self-Referral and Staff Referral:</w:t>
      </w:r>
      <w:r w:rsidRPr="005F1189">
        <w:t xml:space="preserve"> Students can self-refer or be referred by University staff if there are concerns about an eating disorder.</w:t>
      </w:r>
    </w:p>
    <w:p w14:paraId="36C259DB" w14:textId="77777777" w:rsidR="005F1189" w:rsidRPr="005F1189" w:rsidRDefault="005F1189" w:rsidP="005F1189">
      <w:pPr>
        <w:numPr>
          <w:ilvl w:val="0"/>
          <w:numId w:val="1"/>
        </w:numPr>
      </w:pPr>
      <w:r w:rsidRPr="005F1189">
        <w:rPr>
          <w:b/>
          <w:bCs/>
        </w:rPr>
        <w:t>Initial Assessment:</w:t>
      </w:r>
      <w:r w:rsidRPr="005F1189">
        <w:t xml:space="preserve"> A Mental Health Adviser will be allocated to the student and will conduct a comprehensive initial assessment to evaluate: </w:t>
      </w:r>
    </w:p>
    <w:p w14:paraId="58FDE473" w14:textId="77777777" w:rsidR="005F1189" w:rsidRPr="005F1189" w:rsidRDefault="005F1189" w:rsidP="005F1189">
      <w:r w:rsidRPr="005F1189">
        <w:lastRenderedPageBreak/>
        <w:t>Physical health indicators</w:t>
      </w:r>
    </w:p>
    <w:p w14:paraId="1F31EAF8" w14:textId="77777777" w:rsidR="005F1189" w:rsidRPr="005F1189" w:rsidRDefault="005F1189" w:rsidP="005F1189">
      <w:r w:rsidRPr="005F1189">
        <w:t>Mental wellbeing</w:t>
      </w:r>
    </w:p>
    <w:p w14:paraId="590FE1BE" w14:textId="77777777" w:rsidR="005F1189" w:rsidRPr="005F1189" w:rsidRDefault="005F1189" w:rsidP="005F1189">
      <w:r w:rsidRPr="005F1189">
        <w:t>Academic engagement and performance</w:t>
      </w:r>
    </w:p>
    <w:p w14:paraId="515411F6" w14:textId="77777777" w:rsidR="005F1189" w:rsidRPr="005F1189" w:rsidRDefault="005F1189" w:rsidP="005F1189">
      <w:r w:rsidRPr="005F1189">
        <w:t>Social functioning and support networks</w:t>
      </w:r>
    </w:p>
    <w:p w14:paraId="2141DF57" w14:textId="77777777" w:rsidR="005F1189" w:rsidRPr="005F1189" w:rsidRDefault="005F1189" w:rsidP="005F1189">
      <w:r w:rsidRPr="005F1189">
        <w:t>Current coping strategies</w:t>
      </w:r>
    </w:p>
    <w:p w14:paraId="7721BF54" w14:textId="77777777" w:rsidR="005F1189" w:rsidRPr="005F1189" w:rsidRDefault="005F1189" w:rsidP="005F1189">
      <w:r w:rsidRPr="005F1189">
        <w:t>Risk factors and protective factors</w:t>
      </w:r>
    </w:p>
    <w:p w14:paraId="64B5F898" w14:textId="77777777" w:rsidR="005F1189" w:rsidRPr="005F1189" w:rsidRDefault="005F1189" w:rsidP="005F1189">
      <w:r w:rsidRPr="005F1189">
        <w:t>Impact on daily activities and studies</w:t>
      </w:r>
    </w:p>
    <w:p w14:paraId="340EBB75" w14:textId="77777777" w:rsidR="005F1189" w:rsidRPr="005F1189" w:rsidRDefault="005F1189" w:rsidP="005F1189">
      <w:pPr>
        <w:numPr>
          <w:ilvl w:val="0"/>
          <w:numId w:val="1"/>
        </w:numPr>
      </w:pPr>
      <w:r w:rsidRPr="005F1189">
        <w:rPr>
          <w:b/>
          <w:bCs/>
        </w:rPr>
        <w:t>Holistic Risk Assessment:</w:t>
      </w:r>
      <w:r w:rsidRPr="005F1189">
        <w:t xml:space="preserve"> A thorough risk assessment will consider multiple factors including: </w:t>
      </w:r>
    </w:p>
    <w:p w14:paraId="343A41FC" w14:textId="77777777" w:rsidR="005F1189" w:rsidRPr="005F1189" w:rsidRDefault="005F1189" w:rsidP="005F1189">
      <w:r w:rsidRPr="005F1189">
        <w:t>Physical health status and medical stability</w:t>
      </w:r>
    </w:p>
    <w:p w14:paraId="3A022927" w14:textId="77777777" w:rsidR="005F1189" w:rsidRPr="005F1189" w:rsidRDefault="005F1189" w:rsidP="005F1189">
      <w:r w:rsidRPr="005F1189">
        <w:t>Psychological wellbeing</w:t>
      </w:r>
    </w:p>
    <w:p w14:paraId="7FF19761" w14:textId="77777777" w:rsidR="005F1189" w:rsidRPr="005F1189" w:rsidRDefault="005F1189" w:rsidP="005F1189">
      <w:r w:rsidRPr="005F1189">
        <w:t>Social support systems</w:t>
      </w:r>
    </w:p>
    <w:p w14:paraId="724958C0" w14:textId="77777777" w:rsidR="005F1189" w:rsidRPr="005F1189" w:rsidRDefault="005F1189" w:rsidP="005F1189">
      <w:r w:rsidRPr="005F1189">
        <w:t>Academic engagement</w:t>
      </w:r>
    </w:p>
    <w:p w14:paraId="02DEA8FA" w14:textId="77777777" w:rsidR="005F1189" w:rsidRPr="005F1189" w:rsidRDefault="005F1189" w:rsidP="005F1189">
      <w:r w:rsidRPr="005F1189">
        <w:t>Living arrangements and support</w:t>
      </w:r>
    </w:p>
    <w:p w14:paraId="33052F9A" w14:textId="77777777" w:rsidR="005F1189" w:rsidRPr="005F1189" w:rsidRDefault="005F1189" w:rsidP="005F1189">
      <w:r w:rsidRPr="005F1189">
        <w:t>Current treatment engagement</w:t>
      </w:r>
    </w:p>
    <w:p w14:paraId="68FFE3F0" w14:textId="77777777" w:rsidR="005F1189" w:rsidRPr="005F1189" w:rsidRDefault="005F1189" w:rsidP="005F1189">
      <w:r w:rsidRPr="005F1189">
        <w:t>Historical factors</w:t>
      </w:r>
    </w:p>
    <w:p w14:paraId="3BD8597C" w14:textId="77777777" w:rsidR="005F1189" w:rsidRDefault="005F1189" w:rsidP="005F1189">
      <w:r w:rsidRPr="005F1189">
        <w:t>Protective factors and strengths</w:t>
      </w:r>
    </w:p>
    <w:p w14:paraId="11FC9910" w14:textId="77777777" w:rsidR="005F1189" w:rsidRPr="005F1189" w:rsidRDefault="005F1189" w:rsidP="005F1189"/>
    <w:p w14:paraId="75EDC814" w14:textId="77777777" w:rsidR="005F1189" w:rsidRPr="005F1189" w:rsidRDefault="005F1189" w:rsidP="00A131DA">
      <w:pPr>
        <w:pStyle w:val="Heading2"/>
      </w:pPr>
      <w:r w:rsidRPr="005F1189">
        <w:t>SUPPORT AND REFERRAL</w:t>
      </w:r>
    </w:p>
    <w:p w14:paraId="3E21A5E5" w14:textId="77777777" w:rsidR="005F1189" w:rsidRPr="005F1189" w:rsidRDefault="005F1189" w:rsidP="005F1189">
      <w:pPr>
        <w:numPr>
          <w:ilvl w:val="0"/>
          <w:numId w:val="2"/>
        </w:numPr>
      </w:pPr>
      <w:r w:rsidRPr="005F1189">
        <w:rPr>
          <w:b/>
          <w:bCs/>
        </w:rPr>
        <w:t>Support to Study Plan:</w:t>
      </w:r>
      <w:r w:rsidRPr="005F1189">
        <w:t xml:space="preserve"> Based on the comprehensive assessment, a personalised action plan will be developed in collaboration with the student, considering: </w:t>
      </w:r>
    </w:p>
    <w:p w14:paraId="2BE61B22" w14:textId="77777777" w:rsidR="005F1189" w:rsidRPr="005F1189" w:rsidRDefault="005F1189" w:rsidP="005F1189">
      <w:r w:rsidRPr="005F1189">
        <w:t>Individual circumstances and needs</w:t>
      </w:r>
    </w:p>
    <w:p w14:paraId="35ABB222" w14:textId="77777777" w:rsidR="005F1189" w:rsidRPr="005F1189" w:rsidRDefault="005F1189" w:rsidP="005F1189">
      <w:r w:rsidRPr="005F1189">
        <w:t>Academic requirements and adjustments</w:t>
      </w:r>
    </w:p>
    <w:p w14:paraId="16DD8078" w14:textId="77777777" w:rsidR="005F1189" w:rsidRPr="005F1189" w:rsidRDefault="005F1189" w:rsidP="005F1189">
      <w:r w:rsidRPr="005F1189">
        <w:t>Available support networks</w:t>
      </w:r>
    </w:p>
    <w:p w14:paraId="4A964553" w14:textId="77777777" w:rsidR="005F1189" w:rsidRPr="005F1189" w:rsidRDefault="005F1189" w:rsidP="005F1189">
      <w:r w:rsidRPr="005F1189">
        <w:t>Treatment preferences and goals</w:t>
      </w:r>
    </w:p>
    <w:p w14:paraId="01EE50CE" w14:textId="77777777" w:rsidR="005F1189" w:rsidRPr="005F1189" w:rsidRDefault="005F1189" w:rsidP="005F1189">
      <w:r w:rsidRPr="005F1189">
        <w:t>Current engagement with healthcare services</w:t>
      </w:r>
    </w:p>
    <w:p w14:paraId="2E9EA589" w14:textId="664B9524" w:rsidR="005F1189" w:rsidRPr="005F1189" w:rsidRDefault="005F1189" w:rsidP="005F1189">
      <w:pPr>
        <w:numPr>
          <w:ilvl w:val="0"/>
          <w:numId w:val="2"/>
        </w:numPr>
      </w:pPr>
      <w:r w:rsidRPr="005F1189">
        <w:rPr>
          <w:b/>
          <w:bCs/>
        </w:rPr>
        <w:t>Referral to STEPs ED Service:</w:t>
      </w:r>
      <w:r w:rsidRPr="005F1189">
        <w:t xml:space="preserve"> Students requiring specialist treatment will be referred to the </w:t>
      </w:r>
      <w:hyperlink r:id="rId11" w:history="1">
        <w:r w:rsidRPr="005F1189">
          <w:rPr>
            <w:rStyle w:val="Hyperlink"/>
          </w:rPr>
          <w:t>STEPS Eating Disorders Service</w:t>
        </w:r>
      </w:hyperlink>
      <w:r w:rsidRPr="005F1189">
        <w:t xml:space="preserve">. Collaboration with STEPs and </w:t>
      </w:r>
      <w:hyperlink r:id="rId12" w:history="1">
        <w:r w:rsidRPr="005F1189">
          <w:rPr>
            <w:rStyle w:val="Hyperlink"/>
          </w:rPr>
          <w:t>BSU Medical Service</w:t>
        </w:r>
      </w:hyperlink>
      <w:r>
        <w:t xml:space="preserve"> – (</w:t>
      </w:r>
      <w:r w:rsidRPr="005F1189">
        <w:t>Fairfield Park Health Centre</w:t>
      </w:r>
      <w:r>
        <w:t xml:space="preserve">, </w:t>
      </w:r>
      <w:r w:rsidRPr="005F1189">
        <w:t>or other Medical Service) will ensure continuity of care and access to specialist interventions.</w:t>
      </w:r>
    </w:p>
    <w:p w14:paraId="1741432E" w14:textId="77777777" w:rsidR="005F1189" w:rsidRPr="005F1189" w:rsidRDefault="005F1189" w:rsidP="00A131DA">
      <w:pPr>
        <w:pStyle w:val="Heading2"/>
      </w:pPr>
      <w:r w:rsidRPr="005F1189">
        <w:t>COLLABORATION AND CLINICAL GOVERNANCE</w:t>
      </w:r>
    </w:p>
    <w:p w14:paraId="3DBAEDFD" w14:textId="77777777" w:rsidR="005F1189" w:rsidRPr="005F1189" w:rsidRDefault="005F1189" w:rsidP="005F1189">
      <w:pPr>
        <w:numPr>
          <w:ilvl w:val="0"/>
          <w:numId w:val="3"/>
        </w:numPr>
      </w:pPr>
      <w:r w:rsidRPr="005F1189">
        <w:rPr>
          <w:b/>
          <w:bCs/>
        </w:rPr>
        <w:t>Interface Meetings:</w:t>
      </w:r>
      <w:r w:rsidRPr="005F1189">
        <w:t xml:space="preserve"> We participate in 6-weekly interface meetings with the STEPs Eating Disorders Service and the University of Bath to ensure high standards of clinical governance and coordinated care.</w:t>
      </w:r>
    </w:p>
    <w:p w14:paraId="4748D82E" w14:textId="77777777" w:rsidR="005F1189" w:rsidRPr="005F1189" w:rsidRDefault="005F1189" w:rsidP="005F1189">
      <w:pPr>
        <w:numPr>
          <w:ilvl w:val="0"/>
          <w:numId w:val="3"/>
        </w:numPr>
      </w:pPr>
      <w:r w:rsidRPr="005F1189">
        <w:rPr>
          <w:b/>
          <w:bCs/>
        </w:rPr>
        <w:t>Communication:</w:t>
      </w:r>
      <w:r w:rsidRPr="005F1189">
        <w:t xml:space="preserve"> Ongoing communication between Bath Spa University Mental Health Service, Fairfield Park Health Centre, STEPs, and other relevant healthcare providers will be maintained to ensure coordinated and effective care for students.</w:t>
      </w:r>
    </w:p>
    <w:p w14:paraId="509A2B4F" w14:textId="77777777" w:rsidR="005F1189" w:rsidRPr="005F1189" w:rsidRDefault="005F1189" w:rsidP="00A131DA">
      <w:pPr>
        <w:pStyle w:val="Heading2"/>
      </w:pPr>
      <w:r w:rsidRPr="005F1189">
        <w:t>FITNESS TO STUDY CONSIDERATIONS</w:t>
      </w:r>
    </w:p>
    <w:p w14:paraId="457C644B" w14:textId="5CB493BA" w:rsidR="005F1189" w:rsidRPr="005F1189" w:rsidRDefault="005F1189" w:rsidP="005F1189">
      <w:r w:rsidRPr="005F1189">
        <w:t xml:space="preserve">The decision to refer to Fitness to Study will be based on a comprehensive assessment of multiple factors, using input from our risk assessment tool. This approach aligns with </w:t>
      </w:r>
      <w:r w:rsidR="004B72F4">
        <w:t xml:space="preserve">both </w:t>
      </w:r>
      <w:r w:rsidRPr="005F1189">
        <w:t xml:space="preserve">Student Minds' </w:t>
      </w:r>
      <w:r w:rsidR="004B72F4">
        <w:t xml:space="preserve">and HEOPS </w:t>
      </w:r>
      <w:r w:rsidRPr="005F1189">
        <w:t>guidance on supporting students with eating disorders in higher education. Factors considered include:</w:t>
      </w:r>
    </w:p>
    <w:p w14:paraId="50206EFB" w14:textId="77777777" w:rsidR="005F1189" w:rsidRPr="005F1189" w:rsidRDefault="005F1189" w:rsidP="005F1189">
      <w:pPr>
        <w:numPr>
          <w:ilvl w:val="0"/>
          <w:numId w:val="4"/>
        </w:numPr>
      </w:pPr>
      <w:r w:rsidRPr="005F1189">
        <w:t>Overall physical health and medical stability</w:t>
      </w:r>
    </w:p>
    <w:p w14:paraId="074E75F1" w14:textId="77777777" w:rsidR="005F1189" w:rsidRPr="005F1189" w:rsidRDefault="005F1189" w:rsidP="005F1189">
      <w:pPr>
        <w:numPr>
          <w:ilvl w:val="0"/>
          <w:numId w:val="4"/>
        </w:numPr>
      </w:pPr>
      <w:r w:rsidRPr="005F1189">
        <w:t>Psychological wellbeing and mental health</w:t>
      </w:r>
    </w:p>
    <w:p w14:paraId="680F6176" w14:textId="77777777" w:rsidR="005F1189" w:rsidRPr="005F1189" w:rsidRDefault="005F1189" w:rsidP="005F1189">
      <w:pPr>
        <w:numPr>
          <w:ilvl w:val="0"/>
          <w:numId w:val="4"/>
        </w:numPr>
      </w:pPr>
      <w:r w:rsidRPr="005F1189">
        <w:t>Impact on academic engagement and performance</w:t>
      </w:r>
    </w:p>
    <w:p w14:paraId="311ACD93" w14:textId="77777777" w:rsidR="005F1189" w:rsidRPr="005F1189" w:rsidRDefault="005F1189" w:rsidP="005F1189">
      <w:pPr>
        <w:numPr>
          <w:ilvl w:val="0"/>
          <w:numId w:val="4"/>
        </w:numPr>
      </w:pPr>
      <w:r w:rsidRPr="005F1189">
        <w:t>Level of engagement with support services</w:t>
      </w:r>
    </w:p>
    <w:p w14:paraId="6C4D54D8" w14:textId="77777777" w:rsidR="005F1189" w:rsidRPr="005F1189" w:rsidRDefault="005F1189" w:rsidP="005F1189">
      <w:pPr>
        <w:numPr>
          <w:ilvl w:val="0"/>
          <w:numId w:val="4"/>
        </w:numPr>
      </w:pPr>
      <w:r w:rsidRPr="005F1189">
        <w:t>Risk assessment outcomes</w:t>
      </w:r>
    </w:p>
    <w:p w14:paraId="6DBCD781" w14:textId="77777777" w:rsidR="005F1189" w:rsidRPr="005F1189" w:rsidRDefault="005F1189" w:rsidP="005F1189">
      <w:pPr>
        <w:numPr>
          <w:ilvl w:val="0"/>
          <w:numId w:val="4"/>
        </w:numPr>
      </w:pPr>
      <w:r w:rsidRPr="005F1189">
        <w:t>Student's insight into their condition</w:t>
      </w:r>
    </w:p>
    <w:p w14:paraId="00A46594" w14:textId="77777777" w:rsidR="005F1189" w:rsidRPr="005F1189" w:rsidRDefault="005F1189" w:rsidP="005F1189">
      <w:pPr>
        <w:numPr>
          <w:ilvl w:val="0"/>
          <w:numId w:val="4"/>
        </w:numPr>
      </w:pPr>
      <w:r w:rsidRPr="005F1189">
        <w:t>Available support networks</w:t>
      </w:r>
    </w:p>
    <w:p w14:paraId="3DD9A007" w14:textId="77777777" w:rsidR="005F1189" w:rsidRPr="005F1189" w:rsidRDefault="005F1189" w:rsidP="005F1189">
      <w:pPr>
        <w:numPr>
          <w:ilvl w:val="0"/>
          <w:numId w:val="4"/>
        </w:numPr>
      </w:pPr>
      <w:r w:rsidRPr="005F1189">
        <w:t>Current treatment engagement</w:t>
      </w:r>
    </w:p>
    <w:p w14:paraId="60DD0E66" w14:textId="77777777" w:rsidR="005F1189" w:rsidRPr="005F1189" w:rsidRDefault="005F1189" w:rsidP="005F1189">
      <w:pPr>
        <w:numPr>
          <w:ilvl w:val="0"/>
          <w:numId w:val="4"/>
        </w:numPr>
      </w:pPr>
      <w:r w:rsidRPr="005F1189">
        <w:t>Impact on daily functioning</w:t>
      </w:r>
    </w:p>
    <w:p w14:paraId="1B7E4CE7" w14:textId="77777777" w:rsidR="005F1189" w:rsidRPr="005F1189" w:rsidRDefault="005F1189" w:rsidP="005F1189">
      <w:pPr>
        <w:numPr>
          <w:ilvl w:val="0"/>
          <w:numId w:val="4"/>
        </w:numPr>
      </w:pPr>
      <w:r w:rsidRPr="005F1189">
        <w:t>Ability to maintain academic commitments safely</w:t>
      </w:r>
    </w:p>
    <w:p w14:paraId="5758F855" w14:textId="77777777" w:rsidR="005F1189" w:rsidRPr="005F1189" w:rsidRDefault="005F1189" w:rsidP="005F1189">
      <w:r w:rsidRPr="005F1189">
        <w:t>Referral to Fitness to Study will be considered when:</w:t>
      </w:r>
    </w:p>
    <w:p w14:paraId="0B3BBA7C" w14:textId="77777777" w:rsidR="005F1189" w:rsidRPr="005F1189" w:rsidRDefault="005F1189" w:rsidP="005F1189">
      <w:pPr>
        <w:numPr>
          <w:ilvl w:val="0"/>
          <w:numId w:val="5"/>
        </w:numPr>
      </w:pPr>
      <w:r w:rsidRPr="005F1189">
        <w:t>There are significant concerns about a student's ability to study safely</w:t>
      </w:r>
    </w:p>
    <w:p w14:paraId="0D6DE637" w14:textId="77777777" w:rsidR="005F1189" w:rsidRPr="005F1189" w:rsidRDefault="005F1189" w:rsidP="005F1189">
      <w:pPr>
        <w:numPr>
          <w:ilvl w:val="0"/>
          <w:numId w:val="5"/>
        </w:numPr>
      </w:pPr>
      <w:r w:rsidRPr="005F1189">
        <w:t>Multiple risk factors are present</w:t>
      </w:r>
    </w:p>
    <w:p w14:paraId="4C25842D" w14:textId="77777777" w:rsidR="005F1189" w:rsidRPr="005F1189" w:rsidRDefault="005F1189" w:rsidP="005F1189">
      <w:pPr>
        <w:numPr>
          <w:ilvl w:val="0"/>
          <w:numId w:val="5"/>
        </w:numPr>
      </w:pPr>
      <w:r w:rsidRPr="005F1189">
        <w:t>Current support measures are insufficient to maintain student wellbeing</w:t>
      </w:r>
    </w:p>
    <w:p w14:paraId="564C9507" w14:textId="77777777" w:rsidR="005F1189" w:rsidRPr="005F1189" w:rsidRDefault="005F1189" w:rsidP="005F1189">
      <w:pPr>
        <w:numPr>
          <w:ilvl w:val="0"/>
          <w:numId w:val="5"/>
        </w:numPr>
      </w:pPr>
      <w:r w:rsidRPr="005F1189">
        <w:t>The student's health is significantly impacting their ability to engage with studies</w:t>
      </w:r>
    </w:p>
    <w:p w14:paraId="52FE0FD9" w14:textId="77777777" w:rsidR="005F1189" w:rsidRPr="005F1189" w:rsidRDefault="005F1189" w:rsidP="005F1189">
      <w:pPr>
        <w:numPr>
          <w:ilvl w:val="0"/>
          <w:numId w:val="5"/>
        </w:numPr>
      </w:pPr>
      <w:r w:rsidRPr="005F1189">
        <w:t>There are serious concerns about the student's safety or wellbeing</w:t>
      </w:r>
    </w:p>
    <w:p w14:paraId="77B2DDA8" w14:textId="77777777" w:rsidR="005F1189" w:rsidRPr="005F1189" w:rsidRDefault="005F1189" w:rsidP="00A131DA">
      <w:pPr>
        <w:pStyle w:val="Heading2"/>
      </w:pPr>
      <w:r w:rsidRPr="005F1189">
        <w:lastRenderedPageBreak/>
        <w:t>SUPPORT DURING FITNESS TO STUDY</w:t>
      </w:r>
    </w:p>
    <w:p w14:paraId="23EE7077" w14:textId="77777777" w:rsidR="005F1189" w:rsidRPr="005F1189" w:rsidRDefault="005F1189" w:rsidP="005F1189">
      <w:r w:rsidRPr="005F1189">
        <w:t>When a student is referred to Fitness to Study, they will receive:</w:t>
      </w:r>
    </w:p>
    <w:p w14:paraId="0D5D5795" w14:textId="77777777" w:rsidR="005F1189" w:rsidRPr="005F1189" w:rsidRDefault="005F1189" w:rsidP="005F1189">
      <w:pPr>
        <w:numPr>
          <w:ilvl w:val="0"/>
          <w:numId w:val="6"/>
        </w:numPr>
      </w:pPr>
      <w:r w:rsidRPr="005F1189">
        <w:t>Continued support from their Mental Health Adviser</w:t>
      </w:r>
    </w:p>
    <w:p w14:paraId="50F59425" w14:textId="77777777" w:rsidR="005F1189" w:rsidRPr="005F1189" w:rsidRDefault="005F1189" w:rsidP="005F1189">
      <w:pPr>
        <w:numPr>
          <w:ilvl w:val="0"/>
          <w:numId w:val="6"/>
        </w:numPr>
      </w:pPr>
      <w:r w:rsidRPr="005F1189">
        <w:t>Clear communication about the process and expectations</w:t>
      </w:r>
    </w:p>
    <w:p w14:paraId="78411EF0" w14:textId="77777777" w:rsidR="005F1189" w:rsidRPr="005F1189" w:rsidRDefault="005F1189" w:rsidP="005F1189">
      <w:pPr>
        <w:numPr>
          <w:ilvl w:val="0"/>
          <w:numId w:val="6"/>
        </w:numPr>
      </w:pPr>
      <w:r w:rsidRPr="005F1189">
        <w:t>Opportunities to discuss concerns and preferences</w:t>
      </w:r>
    </w:p>
    <w:p w14:paraId="754CD2AC" w14:textId="77777777" w:rsidR="005F1189" w:rsidRPr="005F1189" w:rsidRDefault="005F1189" w:rsidP="005F1189">
      <w:pPr>
        <w:numPr>
          <w:ilvl w:val="0"/>
          <w:numId w:val="6"/>
        </w:numPr>
      </w:pPr>
      <w:r w:rsidRPr="005F1189">
        <w:t>Support in developing an action plan</w:t>
      </w:r>
    </w:p>
    <w:p w14:paraId="1F3B097F" w14:textId="77777777" w:rsidR="005F1189" w:rsidRPr="005F1189" w:rsidRDefault="005F1189" w:rsidP="005F1189">
      <w:pPr>
        <w:numPr>
          <w:ilvl w:val="0"/>
          <w:numId w:val="6"/>
        </w:numPr>
      </w:pPr>
      <w:r w:rsidRPr="005F1189">
        <w:t>Regular reviews of progress and needs</w:t>
      </w:r>
    </w:p>
    <w:p w14:paraId="36E80E1A" w14:textId="77777777" w:rsidR="005F1189" w:rsidRPr="005F1189" w:rsidRDefault="005F1189" w:rsidP="005F1189">
      <w:pPr>
        <w:numPr>
          <w:ilvl w:val="0"/>
          <w:numId w:val="6"/>
        </w:numPr>
      </w:pPr>
      <w:r w:rsidRPr="005F1189">
        <w:t>Assistance in accessing appropriate medical care</w:t>
      </w:r>
    </w:p>
    <w:p w14:paraId="7F71C16D" w14:textId="77777777" w:rsidR="005F1189" w:rsidRPr="005F1189" w:rsidRDefault="005F1189" w:rsidP="005F1189">
      <w:pPr>
        <w:numPr>
          <w:ilvl w:val="0"/>
          <w:numId w:val="6"/>
        </w:numPr>
      </w:pPr>
      <w:r w:rsidRPr="005F1189">
        <w:t>Support in maintaining academic engagement where possible</w:t>
      </w:r>
    </w:p>
    <w:p w14:paraId="4A166576" w14:textId="77777777" w:rsidR="005F1189" w:rsidRPr="005F1189" w:rsidRDefault="005F1189" w:rsidP="00A131DA">
      <w:pPr>
        <w:pStyle w:val="Heading2"/>
      </w:pPr>
      <w:r w:rsidRPr="005F1189">
        <w:t>TRAINING AND AWARENESS</w:t>
      </w:r>
    </w:p>
    <w:p w14:paraId="583F4B3D" w14:textId="77777777" w:rsidR="005F1189" w:rsidRPr="005F1189" w:rsidRDefault="005F1189" w:rsidP="005F1189">
      <w:pPr>
        <w:numPr>
          <w:ilvl w:val="0"/>
          <w:numId w:val="7"/>
        </w:numPr>
      </w:pPr>
      <w:r w:rsidRPr="005F1189">
        <w:rPr>
          <w:b/>
          <w:bCs/>
        </w:rPr>
        <w:t>Staff Training:</w:t>
      </w:r>
      <w:r w:rsidRPr="005F1189">
        <w:t xml:space="preserve"> Regular training will be provided to </w:t>
      </w:r>
      <w:proofErr w:type="gramStart"/>
      <w:r w:rsidRPr="005F1189">
        <w:t>University</w:t>
      </w:r>
      <w:proofErr w:type="gramEnd"/>
      <w:r w:rsidRPr="005F1189">
        <w:t xml:space="preserve"> staff on: </w:t>
      </w:r>
    </w:p>
    <w:p w14:paraId="0F36482B" w14:textId="77777777" w:rsidR="005F1189" w:rsidRPr="005F1189" w:rsidRDefault="005F1189" w:rsidP="005F1189">
      <w:r w:rsidRPr="005F1189">
        <w:t>Understanding eating disorders</w:t>
      </w:r>
    </w:p>
    <w:p w14:paraId="307B4767" w14:textId="77777777" w:rsidR="005F1189" w:rsidRPr="005F1189" w:rsidRDefault="005F1189" w:rsidP="005F1189">
      <w:r w:rsidRPr="005F1189">
        <w:t>Identifying signs of concern</w:t>
      </w:r>
    </w:p>
    <w:p w14:paraId="046F1396" w14:textId="77777777" w:rsidR="005F1189" w:rsidRPr="005F1189" w:rsidRDefault="005F1189" w:rsidP="005F1189">
      <w:r w:rsidRPr="005F1189">
        <w:t>Supporting students appropriately</w:t>
      </w:r>
    </w:p>
    <w:p w14:paraId="344F1AD0" w14:textId="77777777" w:rsidR="005F1189" w:rsidRPr="005F1189" w:rsidRDefault="005F1189" w:rsidP="005F1189">
      <w:r w:rsidRPr="005F1189">
        <w:t>Making sensitive referrals</w:t>
      </w:r>
    </w:p>
    <w:p w14:paraId="59C475AD" w14:textId="77777777" w:rsidR="005F1189" w:rsidRPr="005F1189" w:rsidRDefault="005F1189" w:rsidP="005F1189">
      <w:r w:rsidRPr="005F1189">
        <w:t>Understanding the impact on academic performance</w:t>
      </w:r>
    </w:p>
    <w:p w14:paraId="60E35F10" w14:textId="77777777" w:rsidR="005F1189" w:rsidRPr="005F1189" w:rsidRDefault="005F1189" w:rsidP="005F1189">
      <w:pPr>
        <w:numPr>
          <w:ilvl w:val="0"/>
          <w:numId w:val="7"/>
        </w:numPr>
      </w:pPr>
      <w:r w:rsidRPr="005F1189">
        <w:rPr>
          <w:b/>
          <w:bCs/>
        </w:rPr>
        <w:t>Student Awareness:</w:t>
      </w:r>
      <w:r w:rsidRPr="005F1189">
        <w:t xml:space="preserve"> Awareness campaigns and educational resources will be made available to students to promote early identification and self-referral.</w:t>
      </w:r>
    </w:p>
    <w:p w14:paraId="0DC2D443" w14:textId="77777777" w:rsidR="005F1189" w:rsidRPr="005F1189" w:rsidRDefault="005F1189" w:rsidP="00A131DA">
      <w:pPr>
        <w:pStyle w:val="Heading2"/>
      </w:pPr>
      <w:r w:rsidRPr="005F1189">
        <w:t>CONFIDENTIALITY</w:t>
      </w:r>
    </w:p>
    <w:p w14:paraId="0655D3F4" w14:textId="77777777" w:rsidR="005F1189" w:rsidRPr="005F1189" w:rsidRDefault="005F1189" w:rsidP="005F1189">
      <w:r w:rsidRPr="005F1189">
        <w:t>All information regarding a student's eating disorder will be treated with confidentiality in accordance with legal and ethical guidelines. Information will only be shared with relevant parties when necessary for the student's care and, wherever possible, with the student's consent.</w:t>
      </w:r>
    </w:p>
    <w:p w14:paraId="25B0E14D" w14:textId="77777777" w:rsidR="005F1189" w:rsidRPr="005F1189" w:rsidRDefault="005F1189" w:rsidP="00A131DA">
      <w:pPr>
        <w:pStyle w:val="Heading2"/>
      </w:pPr>
      <w:r w:rsidRPr="005F1189">
        <w:t>REVIEW OF PROTOCOL</w:t>
      </w:r>
    </w:p>
    <w:p w14:paraId="0DC02084" w14:textId="77777777" w:rsidR="005F1189" w:rsidRPr="005F1189" w:rsidRDefault="005F1189" w:rsidP="005F1189">
      <w:r w:rsidRPr="005F1189">
        <w:t>This protocol will be reviewed annually to ensure it remains aligned with best practice and contemporary understanding of eating disorders in higher education. Feedback from students, staff, and healthcare partners will be considered in the review process.</w:t>
      </w:r>
    </w:p>
    <w:p w14:paraId="1EAC1DC1" w14:textId="77777777" w:rsidR="005F1189" w:rsidRPr="005F1189" w:rsidRDefault="005F1189" w:rsidP="00A131DA">
      <w:pPr>
        <w:pStyle w:val="Heading2"/>
      </w:pPr>
      <w:r w:rsidRPr="005F1189">
        <w:t>CONTACT INFORMATION</w:t>
      </w:r>
    </w:p>
    <w:p w14:paraId="4BFE38A0" w14:textId="77777777" w:rsidR="005F1189" w:rsidRPr="005F1189" w:rsidRDefault="005F1189" w:rsidP="005F1189">
      <w:r w:rsidRPr="005F1189">
        <w:t>For more information or to seek support, please contact Student Wellbeing Services.</w:t>
      </w:r>
    </w:p>
    <w:p w14:paraId="72CF1ED9" w14:textId="77777777" w:rsidR="005F1189" w:rsidRPr="005F1189" w:rsidRDefault="005F1189" w:rsidP="00A131DA">
      <w:pPr>
        <w:pStyle w:val="Heading2"/>
      </w:pPr>
      <w:r w:rsidRPr="005F1189">
        <w:lastRenderedPageBreak/>
        <w:t>REFERENCES</w:t>
      </w:r>
    </w:p>
    <w:p w14:paraId="0EDF6B0A" w14:textId="6043B226" w:rsidR="005F1189" w:rsidRPr="005F1189" w:rsidRDefault="005F1189" w:rsidP="005F1189">
      <w:pPr>
        <w:numPr>
          <w:ilvl w:val="0"/>
          <w:numId w:val="8"/>
        </w:numPr>
      </w:pPr>
      <w:hyperlink r:id="rId13" w:history="1">
        <w:r w:rsidRPr="005F1189">
          <w:rPr>
            <w:rStyle w:val="Hyperlink"/>
          </w:rPr>
          <w:t>Student Minds Guidance on Supporting Students with Eating Disorders</w:t>
        </w:r>
      </w:hyperlink>
    </w:p>
    <w:p w14:paraId="2C1A0A05" w14:textId="77777777" w:rsidR="005F1189" w:rsidRPr="005F1189" w:rsidRDefault="005F1189" w:rsidP="005F1189">
      <w:pPr>
        <w:numPr>
          <w:ilvl w:val="0"/>
          <w:numId w:val="8"/>
        </w:numPr>
      </w:pPr>
      <w:r w:rsidRPr="005F1189">
        <w:t>STEPS Eating Disorders Service and Bath Universities Interface Meeting Terms of Reference</w:t>
      </w:r>
    </w:p>
    <w:p w14:paraId="61F22C08" w14:textId="1086AE86" w:rsidR="005F1189" w:rsidRDefault="005F1189" w:rsidP="66D90B64">
      <w:pPr>
        <w:numPr>
          <w:ilvl w:val="0"/>
          <w:numId w:val="8"/>
        </w:numPr>
        <w:rPr>
          <w:rStyle w:val="Hyperlink"/>
        </w:rPr>
      </w:pPr>
      <w:hyperlink r:id="rId14">
        <w:r w:rsidRPr="66D90B64">
          <w:rPr>
            <w:rStyle w:val="Hyperlink"/>
          </w:rPr>
          <w:t>Higher Education Occupational Physicians/Practitioners (HEOPS) Guidance</w:t>
        </w:r>
      </w:hyperlink>
    </w:p>
    <w:sectPr w:rsidR="005F1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0EF0"/>
    <w:multiLevelType w:val="multilevel"/>
    <w:tmpl w:val="63D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0EA"/>
    <w:multiLevelType w:val="multilevel"/>
    <w:tmpl w:val="ABBA7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5082B"/>
    <w:multiLevelType w:val="multilevel"/>
    <w:tmpl w:val="39B65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35E29"/>
    <w:multiLevelType w:val="multilevel"/>
    <w:tmpl w:val="2D32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F5DDD"/>
    <w:multiLevelType w:val="multilevel"/>
    <w:tmpl w:val="6760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A54DF"/>
    <w:multiLevelType w:val="multilevel"/>
    <w:tmpl w:val="8C1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895"/>
    <w:multiLevelType w:val="multilevel"/>
    <w:tmpl w:val="D018C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27A45"/>
    <w:multiLevelType w:val="multilevel"/>
    <w:tmpl w:val="D2D6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46319">
    <w:abstractNumId w:val="1"/>
  </w:num>
  <w:num w:numId="2" w16cid:durableId="1163737475">
    <w:abstractNumId w:val="2"/>
  </w:num>
  <w:num w:numId="3" w16cid:durableId="1327320429">
    <w:abstractNumId w:val="0"/>
  </w:num>
  <w:num w:numId="4" w16cid:durableId="1006593289">
    <w:abstractNumId w:val="3"/>
  </w:num>
  <w:num w:numId="5" w16cid:durableId="281152386">
    <w:abstractNumId w:val="7"/>
  </w:num>
  <w:num w:numId="6" w16cid:durableId="1094741811">
    <w:abstractNumId w:val="4"/>
  </w:num>
  <w:num w:numId="7" w16cid:durableId="183323110">
    <w:abstractNumId w:val="6"/>
  </w:num>
  <w:num w:numId="8" w16cid:durableId="112126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89"/>
    <w:rsid w:val="00151113"/>
    <w:rsid w:val="001946CB"/>
    <w:rsid w:val="00335360"/>
    <w:rsid w:val="003C66DB"/>
    <w:rsid w:val="004B72F4"/>
    <w:rsid w:val="005F1189"/>
    <w:rsid w:val="0084576B"/>
    <w:rsid w:val="00A131DA"/>
    <w:rsid w:val="2928C1E2"/>
    <w:rsid w:val="2F5EBD00"/>
    <w:rsid w:val="66D9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805B"/>
  <w15:chartTrackingRefBased/>
  <w15:docId w15:val="{BC1971A3-1624-4DAB-995B-CEBDA003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1DA"/>
    <w:pPr>
      <w:keepNext/>
      <w:keepLines/>
      <w:spacing w:before="360" w:after="80"/>
      <w:outlineLvl w:val="0"/>
    </w:pPr>
    <w:rPr>
      <w:rFonts w:asciiTheme="majorHAnsi" w:eastAsiaTheme="majorEastAsia" w:hAnsiTheme="majorHAnsi" w:cstheme="majorBidi"/>
      <w:b/>
      <w:color w:val="000000" w:themeColor="text1"/>
      <w:sz w:val="32"/>
      <w:szCs w:val="40"/>
    </w:rPr>
  </w:style>
  <w:style w:type="paragraph" w:styleId="Heading2">
    <w:name w:val="heading 2"/>
    <w:basedOn w:val="Normal"/>
    <w:next w:val="Normal"/>
    <w:link w:val="Heading2Char"/>
    <w:uiPriority w:val="9"/>
    <w:unhideWhenUsed/>
    <w:qFormat/>
    <w:rsid w:val="00A131DA"/>
    <w:pPr>
      <w:keepNext/>
      <w:keepLines/>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5F1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DA"/>
    <w:rPr>
      <w:rFonts w:asciiTheme="majorHAnsi" w:eastAsiaTheme="majorEastAsia" w:hAnsiTheme="majorHAnsi" w:cstheme="majorBidi"/>
      <w:b/>
      <w:color w:val="000000" w:themeColor="text1"/>
      <w:sz w:val="32"/>
      <w:szCs w:val="40"/>
    </w:rPr>
  </w:style>
  <w:style w:type="character" w:customStyle="1" w:styleId="Heading2Char">
    <w:name w:val="Heading 2 Char"/>
    <w:basedOn w:val="DefaultParagraphFont"/>
    <w:link w:val="Heading2"/>
    <w:uiPriority w:val="9"/>
    <w:rsid w:val="00A131DA"/>
    <w:rPr>
      <w:rFonts w:asciiTheme="majorHAnsi" w:eastAsiaTheme="majorEastAsia" w:hAnsiTheme="majorHAnsi" w:cstheme="majorBidi"/>
      <w:b/>
      <w:color w:val="0F4761" w:themeColor="accent1" w:themeShade="BF"/>
      <w:sz w:val="28"/>
      <w:szCs w:val="32"/>
    </w:rPr>
  </w:style>
  <w:style w:type="character" w:customStyle="1" w:styleId="Heading3Char">
    <w:name w:val="Heading 3 Char"/>
    <w:basedOn w:val="DefaultParagraphFont"/>
    <w:link w:val="Heading3"/>
    <w:uiPriority w:val="9"/>
    <w:semiHidden/>
    <w:rsid w:val="005F1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89"/>
    <w:rPr>
      <w:rFonts w:eastAsiaTheme="majorEastAsia" w:cstheme="majorBidi"/>
      <w:color w:val="272727" w:themeColor="text1" w:themeTint="D8"/>
    </w:rPr>
  </w:style>
  <w:style w:type="paragraph" w:styleId="Title">
    <w:name w:val="Title"/>
    <w:basedOn w:val="Normal"/>
    <w:next w:val="Normal"/>
    <w:link w:val="TitleChar"/>
    <w:uiPriority w:val="10"/>
    <w:qFormat/>
    <w:rsid w:val="00A131DA"/>
    <w:pPr>
      <w:spacing w:after="80" w:line="24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A131DA"/>
    <w:rPr>
      <w:rFonts w:asciiTheme="majorHAnsi" w:eastAsiaTheme="majorEastAsia" w:hAnsiTheme="majorHAnsi" w:cstheme="majorBidi"/>
      <w:b/>
      <w:spacing w:val="-10"/>
      <w:kern w:val="28"/>
      <w:sz w:val="36"/>
      <w:szCs w:val="56"/>
    </w:rPr>
  </w:style>
  <w:style w:type="paragraph" w:styleId="Subtitle">
    <w:name w:val="Subtitle"/>
    <w:basedOn w:val="Normal"/>
    <w:next w:val="Normal"/>
    <w:link w:val="SubtitleChar"/>
    <w:uiPriority w:val="11"/>
    <w:qFormat/>
    <w:rsid w:val="005F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89"/>
    <w:pPr>
      <w:spacing w:before="160"/>
      <w:jc w:val="center"/>
    </w:pPr>
    <w:rPr>
      <w:i/>
      <w:iCs/>
      <w:color w:val="404040" w:themeColor="text1" w:themeTint="BF"/>
    </w:rPr>
  </w:style>
  <w:style w:type="character" w:customStyle="1" w:styleId="QuoteChar">
    <w:name w:val="Quote Char"/>
    <w:basedOn w:val="DefaultParagraphFont"/>
    <w:link w:val="Quote"/>
    <w:uiPriority w:val="29"/>
    <w:rsid w:val="005F1189"/>
    <w:rPr>
      <w:i/>
      <w:iCs/>
      <w:color w:val="404040" w:themeColor="text1" w:themeTint="BF"/>
    </w:rPr>
  </w:style>
  <w:style w:type="paragraph" w:styleId="ListParagraph">
    <w:name w:val="List Paragraph"/>
    <w:basedOn w:val="Normal"/>
    <w:uiPriority w:val="34"/>
    <w:qFormat/>
    <w:rsid w:val="005F1189"/>
    <w:pPr>
      <w:ind w:left="720"/>
      <w:contextualSpacing/>
    </w:pPr>
  </w:style>
  <w:style w:type="character" w:styleId="IntenseEmphasis">
    <w:name w:val="Intense Emphasis"/>
    <w:basedOn w:val="DefaultParagraphFont"/>
    <w:uiPriority w:val="21"/>
    <w:qFormat/>
    <w:rsid w:val="005F1189"/>
    <w:rPr>
      <w:i/>
      <w:iCs/>
      <w:color w:val="0F4761" w:themeColor="accent1" w:themeShade="BF"/>
    </w:rPr>
  </w:style>
  <w:style w:type="paragraph" w:styleId="IntenseQuote">
    <w:name w:val="Intense Quote"/>
    <w:basedOn w:val="Normal"/>
    <w:next w:val="Normal"/>
    <w:link w:val="IntenseQuoteChar"/>
    <w:uiPriority w:val="30"/>
    <w:qFormat/>
    <w:rsid w:val="005F1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189"/>
    <w:rPr>
      <w:i/>
      <w:iCs/>
      <w:color w:val="0F4761" w:themeColor="accent1" w:themeShade="BF"/>
    </w:rPr>
  </w:style>
  <w:style w:type="character" w:styleId="IntenseReference">
    <w:name w:val="Intense Reference"/>
    <w:basedOn w:val="DefaultParagraphFont"/>
    <w:uiPriority w:val="32"/>
    <w:qFormat/>
    <w:rsid w:val="005F1189"/>
    <w:rPr>
      <w:b/>
      <w:bCs/>
      <w:smallCaps/>
      <w:color w:val="0F4761" w:themeColor="accent1" w:themeShade="BF"/>
      <w:spacing w:val="5"/>
    </w:rPr>
  </w:style>
  <w:style w:type="character" w:styleId="Hyperlink">
    <w:name w:val="Hyperlink"/>
    <w:basedOn w:val="DefaultParagraphFont"/>
    <w:uiPriority w:val="99"/>
    <w:unhideWhenUsed/>
    <w:rsid w:val="005F1189"/>
    <w:rPr>
      <w:color w:val="467886" w:themeColor="hyperlink"/>
      <w:u w:val="single"/>
    </w:rPr>
  </w:style>
  <w:style w:type="character" w:styleId="UnresolvedMention">
    <w:name w:val="Unresolved Mention"/>
    <w:basedOn w:val="DefaultParagraphFont"/>
    <w:uiPriority w:val="99"/>
    <w:semiHidden/>
    <w:unhideWhenUsed/>
    <w:rsid w:val="005F1189"/>
    <w:rPr>
      <w:color w:val="605E5C"/>
      <w:shd w:val="clear" w:color="auto" w:fill="E1DFDD"/>
    </w:rPr>
  </w:style>
  <w:style w:type="character" w:styleId="FollowedHyperlink">
    <w:name w:val="FollowedHyperlink"/>
    <w:basedOn w:val="DefaultParagraphFont"/>
    <w:uiPriority w:val="99"/>
    <w:semiHidden/>
    <w:unhideWhenUsed/>
    <w:rsid w:val="003353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spa.ac.uk/students/student-wellbeing-services/" TargetMode="External"/><Relationship Id="rId13" Type="http://schemas.openxmlformats.org/officeDocument/2006/relationships/hyperlink" Target="https://www.studentminds.org.uk/uploads/3/7/8/4/3784584/2021_ed_final_artwork.pdf" TargetMode="External"/><Relationship Id="rId3" Type="http://schemas.openxmlformats.org/officeDocument/2006/relationships/settings" Target="settings.xml"/><Relationship Id="rId7" Type="http://schemas.openxmlformats.org/officeDocument/2006/relationships/hyperlink" Target="https://www.bathspa.ac.uk/students/student-wellbeing-services/fitness-to-study/" TargetMode="External"/><Relationship Id="rId12" Type="http://schemas.openxmlformats.org/officeDocument/2006/relationships/hyperlink" Target="https://www.bathspa.ac.uk/students/student-wellbeing-services/medical-ser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athspa.ac.uk/students/student-wellbeing-services/support-to-study/" TargetMode="External"/><Relationship Id="rId11" Type="http://schemas.openxmlformats.org/officeDocument/2006/relationships/hyperlink" Target="https://www.awp.nhs.uk/our-services/community-services/eating-disorder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mind.org.uk/information-support/types-of-mental-health-problems/eating-problems/types-of-eating-disorders/" TargetMode="External"/><Relationship Id="rId4" Type="http://schemas.openxmlformats.org/officeDocument/2006/relationships/webSettings" Target="webSettings.xml"/><Relationship Id="rId9" Type="http://schemas.openxmlformats.org/officeDocument/2006/relationships/hyperlink" Target="https://www.nhs.uk/mental-health/feelings-symptoms-behaviours/behaviours/eating-disorders/overview/" TargetMode="External"/><Relationship Id="rId14" Type="http://schemas.openxmlformats.org/officeDocument/2006/relationships/hyperlink" Target="https://freedfromed.co.uk/img/guides/Fitness_To_Study-FRE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Eating Disorder Protocol 2025</dc:title>
  <dc:subject/>
  <dc:creator>Sarah Ireland</dc:creator>
  <cp:keywords/>
  <dc:description/>
  <cp:lastModifiedBy>Nicola Heaney</cp:lastModifiedBy>
  <cp:revision>5</cp:revision>
  <dcterms:created xsi:type="dcterms:W3CDTF">2025-02-12T15:18:00Z</dcterms:created>
  <dcterms:modified xsi:type="dcterms:W3CDTF">2025-10-03T15:32:00Z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2025-02-12T15:47:19Z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99470b70-1f1f-4d37-92e5-390b94d79545</vt:lpwstr>
  </property>
  <property fmtid="{D5CDD505-2E9C-101B-9397-08002B2CF9AE}" pid="8" name="MSIP_Label_43c9f532-f68c-4710-a80c-2dea02e48496_ContentBits">
    <vt:lpwstr>0</vt:lpwstr>
  </property>
</Properties>
</file>